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999999"/>
          <w:sz w:val="20"/>
          <w:szCs w:val="20"/>
          <w:highlight w:val="white"/>
          <w:u w:val="none"/>
          <w:vertAlign w:val="baseline"/>
          <w:rtl w:val="0"/>
        </w:rPr>
        <w:t xml:space="preserve">MARCA DA BOLLO € 16.00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Arpae Emilia-Romagna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Struttura Autorizzazioni e Concessioni di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via____________________________________n._____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9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Prov.___________________________CAP___________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Comunicazione congiunta di voltura di impianto da fonte rinnovabile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Impianto per la produzione di energia elettrica ________________________________________________ sito nel Comune di_______________________________________________________Prov.____________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CAP___________via_____________________________________________________________________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potenza nominale ______________________ autorizzato con Provvedimento n._____________________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___/___/_______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IMPRESA 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(cognome e nome)___________________________________________________________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il (data di nascita) ___/___/_______a (Comune)__________________________________________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Prov./Stato estero 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residente/domiciliato per la carica nel Comune di______________________________Prov.___________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CAP___________via___________________________________________________________n._________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tel________________________________Fax 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 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(Legale Rappresentante, Titolare, Amministratore, Altro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Ditta/Ente/Società (denominazione) 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legale nel Comune di _____________________________________________Prov. 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CAP___________via____________________________________________________________n.________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P.IVA 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dell'Autorizzazione Unica n.______________________________________ del n.___/___/_______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" w:right="113" w:hanging="576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Congiuntamente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IMPRESA SUBENTRANTE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(cognome e nome)___________________________________________________________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il (data di nascita) ___/___/_______a (Comune)__________________________________________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Prov./Stato estero 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residente/domiciliato per la carica nel Comune di______________________________Prov.___________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CAP___________via___________________________________________________________n._________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tel__________________________________Fax 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 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(Legale Rappresentante, Titolare, Amministratore, Altro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Ditta/Ente/Società (denominazione) 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legale nel Comune di _____________________________________________Prov. 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CAP___________via____________________________________________________________n.________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P.IVA 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giorno ___/___/_______ a seguito di:</w:t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58" w:right="113" w:hanging="129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 contratto di cessione di Azienda</w:t>
          </w:r>
        </w:sdtContent>
      </w:sdt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58" w:right="113" w:hanging="129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 contratto di fusione di Azienda</w:t>
          </w:r>
        </w:sdtContent>
      </w:sdt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58" w:right="113" w:hanging="1296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 altro contratto 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sottoscritto in presenza del Notaio dott. _____________________________________________________</w:t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registrato all'Ufficio del Registro di _______________________________________________________ in data ___/___/_______al n.______l'impresa________________________________________________</w:t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subentrata all'impresa______________________________________________________nella titolarità dell’Autorizzazione Unica rilasciata con provvedimento n. __________ del ___/___/_______ per:</w:t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09" w:right="11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☐la costruzione e l’esercizio        ☐gestione        ☐altro </w:t>
          </w:r>
        </w:sdtContent>
      </w:sdt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(specificare)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ai sensi degli artt. 46,47 del D.P.R. n. 445/2000 e consapevole delle sanzioni penali previste dall'art. 76 del D.P.R. n. 445/2000 per le ipotesi di falsità in atti e dichiarazioni mendaci ivi indicate.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" w:right="113" w:hanging="576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" w:right="113" w:hanging="576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L'impresa cedente 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consegnare all'impresa subentrante l'intera documentazione progettuale approvata come definitiva dalla Conferenza dei Servizi in data ___/___/_______ ed autorizzata con Provvedimento di Autorizzazione n. ______________del ___/___/_______di cui si chiede la voltura;</w:t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nella succitata documentazione non sono state effettuate né previste variazioni e/o modifiche all'impianto autorizzato.</w:t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" w:right="113" w:hanging="576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" w:right="113" w:hanging="576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L'impresa subentrante 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requisiti prescritti in materia di autorizzazione unica dalla normativa nazionale e regionale, e di voler subentrare in tutti gli obblighi e diritti di cui al provvedimento di cui chiede la voltura;</w:t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voler subentrare in tutti gli obblighi e diritti di cui all'autorizzazione n._________________</w:t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___/___/_______ (e relativi allegati);</w:t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ad adempiere a tutte le prescrizioni contenute nel suddetto atto di autorizzazione;</w:t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fornire idonea documentazione comprovante i titoli necessari alla voltura, incluse le garanzie finanziarie da prestare a favore dell’Ente preposto ai fini della dismissione dell’impianto;</w:t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eventuali integrazioni documentali potranno essere richieste dall’Ufficio competente, qualora si rendessero necessarie al completamento dell’iter di voltura;</w:t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comunicare senza ritardo ogni variazione dei dati contenuti nella presente comunicazione;</w:t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eleggere domicilio per l’invio delle comunicazioni presso </w:t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Comune di _________________________________________________________Prov. ___________</w:t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CAP___________via_________________________________________________________n.________</w:t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tel__________________________________Fax ____________________________</w:t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PEC _______________________________________________________________</w:t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" w:right="113" w:hanging="273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 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1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113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conforme del/dei contratto/i definitivo/i attestanti la disponibilità delle aree interessate dal progetto, in capo all’impresa subentrante (con relativo/i atto/i di trascrizione nei registri immobiliari);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integrale dell'atto notarile di trasferimento del diritto;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documentazione richiesta dal Codice Antimafia (D.Lgs. 06.09.2011 n. 159 e s.m.i.) secondo la modulistica e le istruzioni disponibili sul sito web istituzionale di Arpae (</w:t>
      </w:r>
      <w:hyperlink r:id="rId8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www.arpae.it/sac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sz w:val="22"/>
          <w:szCs w:val="22"/>
          <w:highlight w:val="yellow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yellow"/>
          <w:rtl w:val="0"/>
        </w:rPr>
        <w:t xml:space="preserve">eventuale Dichiarazione sostitutiva di certificazione e di atto notorio (artt. 46 D.P.R. 28.12.2000 n. 445) e  autocertificazione antimafia (art. 88 co. 4-bis e art. 89 D. Lgs. 159/2011);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documento di identità in corso di validità del/dei titolare/i o del/dei rappresentante/i legale/i dell’impresa subentrante;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idonea garanzia finanziaria da prestare a favore dell’Ente preposto ai fini della dismissione dell’impianto, di valore pari alla garanzia già prestata dall'impresa cedente, fermo l'obbligo di aggiornamento quinquennale del piano di dismissione; nel caso di subentro in una garanzia esistente, dovrà essere allegata idonea attestazione prodotta dal garante in merito al subentro stesso;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ricevuta di avvenuto pagamento delle spese istruttorie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" w:right="113" w:hanging="576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imprese autorizzano inoltre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L'Amministrazione Procedente a trattare i dati personali contenuti in tale istanza e nella documentazione tecnica ed amministrativa che ne forma parte sostanziale ed integrante, per finalità meramente istituzionali in osservanza delle disposizioni del D.Lgs. n. 196/03 e s.m.i.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8"/>
        </w:tabs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  <w:tab/>
        <w:tab/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</w:t>
        <w:tab/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11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Legale Rappresentante o Titolare Impresa Cedente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(timbro e firma)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11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11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11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Legale Rappresentante o Titolare Impresa Subentrante (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timbro e firma)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113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0"/>
        </w:tabs>
        <w:spacing w:after="0" w:before="0" w:line="360" w:lineRule="auto"/>
        <w:ind w:left="0" w:right="11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atto di notorietà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 previste dall'art.76 dello stesso DPR e dall'art.495 del Codice Penale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 letto e compreso il dettato del Decreto legislativo n. 195/2005 in materia di accesso all'informazione ambientale in particolare l'art. 5, commi 4 e 5, del predetto Decreto di seguito riportato: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Decreto legislativo n. 195 del 19 agosto 2005 "Attuazione della Direttiva 2003/4/CE sull'accesso del pubblico all'informazione ambientale".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Art.5 Casi di esclusione del diritto di accesso.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" w:right="0" w:hanging="227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L'accesso all'informazione ambientale è negato nel caso in cui: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l'informazione richiesta non è detenuta dall'autorità pubblica alla quale è rivolta la richiesta di accesso. In tale caso l'autorità pubblica, se conosce quale autorità detiene l'informazione, trasmette rapidamente la richiesta a quest'ultima e ne informa il richiedente ovvero comunica allo stesso quale sia l'autorità pubblica dalla quale è possibile ottenere l'informazione richiesta;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richiesta è manifestamente irragionevole avuto riguardo alle finalità di cui all'art. 1;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richiesta è espressa in termini eccessivamente generici;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richiesta concerne materiali, documenti o dati incompleti o in corso di completamento. In tale caso, l'autorità pubblica informa il richiedente circa l'autorità che prepara il materiale e la data approssimativa entro la quale detto materiale sarà disponibile;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richiesta riguarda comunicazioni interne, tenuto, in ogni caso, conto dell'interesse pubblico tutelato dal diritto di accesso.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" w:right="0" w:hanging="227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L'accesso all'informazione ambientale è negato quando la divulgazione dell'informazione reca pregiudizio: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riservatezza delle deliberazioni interne delle autorità pubbliche, secondo quanto stabilito dalle disposizioni vigenti in materia;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 relazioni internazionali, all'ordine e sicurezza pubblica o alla difesa nazionale;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allo svolgimento di procedimenti giudiziari o alla possibilità per l'autorità pubblica di svolgere indagini per l'accertamento di illeciti;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riservatezza delle informazioni commerciali o industriali, secondo quanto stabilito dalle disposizioni vigenti in materia, per la tutela di un legittimo interesse economico e pubblico, ivi compresa la riservatezza statistica ed il segreto fiscale, nonché ai diritti di proprietà industriale, di cui al decreto legislativo 10 febbraio 2005, n. 30;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diritti di proprietà intellettuale;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riservatezza dei dati personali o riguardanti una persona fisica, nel caso in cui essa non abbia acconsentito alla divulgazione dell'informazione al pubblico, tenuto conto di quanto stabilito dal decreto legislativo 30 giugno 2003, n. 196;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agli interessi o alla protezione di chiunque abbia fornito di sua volontà le informazioni richieste, in assenza di un obbligo di legge, a meno che la persona interessata abbia acconsentito alla divulgazione delle informazioni in questione;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80" w:right="0" w:hanging="283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tutela dell'ambiente e del paesaggio, cui si riferisce l'informazione, come nel caso dell'ubicazione di specie rare.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" w:right="0" w:hanging="227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L'autorità pubblica applica le disposizioni dei commi 1 e 2 in modo restrittivo, effettuando, in relazione a ciascuna richiesta di accesso, una valutazione ponderata fra l'interesse pubblico all'informazione ambientale e l'interesse tutelato dall'esclusione dall'accesso.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" w:right="0" w:hanging="227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 casi di cui al comma 2, lettere a), d), f), g) e h), la richiesta di accesso non può essere respinta qualora riguardi informazioni su emissioni nell'ambiente.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" w:right="0" w:hanging="227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 casi di cui al comma 1, lettere d) ed e), ed al comma 2, l'autorità pubblica dispone un accesso parziale, a favore del richiedente, qualora sia possibile espungere dall'informazione richiesta le informazioni escluse dal diritto di accesso ai sensi dei citati commi 1 e 2.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" w:right="0" w:hanging="227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 casi in cui il diritto di accesso è rifiutato in tutto o in parte, l'autorità pubblica ne informa il richiedente per iscritto o, se richiesto, in via informatica, entro i termini previsti all'art. 3, comma 2, precisando i motivi del rifiuto ed informando il richiedente della procedura di riesame prevista all'art. 7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8"/>
        </w:tabs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8"/>
        </w:tabs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Firma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________________________________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</w:t>
        <w:tab/>
        <w:t xml:space="preserve">___________________________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documento identità in corso di validità 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582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Unicode MS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(Facsimile Comunicazione congiunta voltura autorizzazione impianto produzione energia elettrica fonte rinnovabile)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Inserire l'indirizzo del SAC competente per territorio, indicato alla pagina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1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www.arpae.it/sac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Specificare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hanging="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Specificare.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Tutti gli elaborati/relazioni vanno presentati in formato pdf con firma digitale del/dei proponente/i della seguente documentazione.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141.73228346456688"/>
        <w:jc w:val="both"/>
        <w:rPr>
          <w:rFonts w:ascii="Tahoma" w:cs="Tahoma" w:eastAsia="Tahoma" w:hAnsi="Tahoma"/>
          <w:b w:val="1"/>
          <w:strike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Importo pari a 26,00€ come da Tariffario delle prestazioni di Arpae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con le modalità riportate nell’avviso di pagamento Pagopa inviato da Arpae via PEC/Mail indicata dal soggetto richiedente precedentemente alla presentazione dell'Istanza.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Tahoma" w:cs="Tahoma" w:eastAsia="Tahoma" w:hAnsi="Tahoma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sz w:val="21"/>
        <w:szCs w:val="21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numPr>
        <w:ilvl w:val="0"/>
        <w:numId w:val="0"/>
      </w:numPr>
      <w:suppressAutoHyphens w:val="0"/>
      <w:spacing w:after="0" w:before="60" w:line="1" w:lineRule="atLeast"/>
      <w:ind w:left="0" w:right="4825" w:leftChars="-1" w:rightChars="0" w:firstLine="0" w:firstLineChars="-1"/>
      <w:jc w:val="center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before="360" w:line="36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Georgia" w:cs="Georgia" w:eastAsia="Lucida Sans Unicode" w:hAnsi="Georgia"/>
      <w:b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3">
    <w:name w:val="Titolo 3"/>
    <w:basedOn w:val="Intestazione1"/>
    <w:next w:val="Corpodeltesto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Lucida Sans" w:eastAsia="SimSun" w:hAnsi="Arial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itolo4">
    <w:name w:val="Titolo 4"/>
    <w:basedOn w:val="Intestazione1"/>
    <w:next w:val="Corpodeltesto"/>
    <w:autoRedefine w:val="0"/>
    <w:hidden w:val="0"/>
    <w:qFormat w:val="0"/>
    <w:pPr>
      <w:keepNext w:val="1"/>
      <w:widowControl w:val="0"/>
      <w:numPr>
        <w:ilvl w:val="3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Arial" w:cs="Lucida Sans" w:eastAsia="SimSun" w:hAnsi="Arial"/>
      <w:b w:val="1"/>
      <w:bCs w:val="1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5">
    <w:name w:val="Titolo 5"/>
    <w:basedOn w:val="Intestazione1"/>
    <w:next w:val="Corpodeltesto"/>
    <w:autoRedefine w:val="0"/>
    <w:hidden w:val="0"/>
    <w:qFormat w:val="0"/>
    <w:pPr>
      <w:keepNext w:val="1"/>
      <w:widowControl w:val="0"/>
      <w:numPr>
        <w:ilvl w:val="4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Arial" w:cs="Lucida Sans" w:eastAsia="SimSun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6">
    <w:name w:val="Titolo 6"/>
    <w:basedOn w:val="Intestazione1"/>
    <w:next w:val="Corpodeltesto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Arial" w:cs="Lucida Sans" w:eastAsia="SimSun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it-IT"/>
    </w:rPr>
  </w:style>
  <w:style w:type="paragraph" w:styleId="Titolo7">
    <w:name w:val="Titolo 7"/>
    <w:basedOn w:val="Intestazione1"/>
    <w:next w:val="Corpodeltesto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Arial" w:cs="Lucida Sans" w:eastAsia="SimSun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it-IT"/>
    </w:rPr>
  </w:style>
  <w:style w:type="paragraph" w:styleId="Titolo8">
    <w:name w:val="Titolo 8"/>
    <w:basedOn w:val="Intestazione1"/>
    <w:next w:val="Corpodeltesto"/>
    <w:autoRedefine w:val="0"/>
    <w:hidden w:val="0"/>
    <w:qFormat w:val="0"/>
    <w:pPr>
      <w:keepNext w:val="1"/>
      <w:widowControl w:val="0"/>
      <w:numPr>
        <w:ilvl w:val="7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Arial" w:cs="Lucida Sans" w:eastAsia="SimSun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it-IT"/>
    </w:rPr>
  </w:style>
  <w:style w:type="paragraph" w:styleId="Titolo9">
    <w:name w:val="Titolo 9"/>
    <w:basedOn w:val="Intestazione1"/>
    <w:next w:val="Corpodeltesto"/>
    <w:autoRedefine w:val="0"/>
    <w:hidden w:val="0"/>
    <w:qFormat w:val="0"/>
    <w:pPr>
      <w:keepNext w:val="1"/>
      <w:widowControl w:val="0"/>
      <w:numPr>
        <w:ilvl w:val="8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Lucida Sans" w:eastAsia="SimSun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it-IT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2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Times New Roman" w:eastAsia="Times New Roman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ahoma" w:cs="Georgia" w:hAnsi="Tahom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Georgia" w:cs="Times New Roman" w:eastAsia="Times New Roman" w:hAnsi="Georgia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Georgia" w:cs="Georgia" w:hAnsi="Georgi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Times New Roman" w:eastAsia="Times New Roman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Tahoma" w:cs="Georgia" w:hAnsi="Tahom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Georgia" w:cs="Georgia" w:hAnsi="Georgia"/>
      <w:w w:val="100"/>
      <w:position w:val="-1"/>
      <w:sz w:val="2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rovv_numart">
    <w:name w:val="provv_numart"/>
    <w:next w:val="provv_numart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rovv_rubrica">
    <w:name w:val="provv_rubrica"/>
    <w:next w:val="provv_rubrica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1">
    <w:name w:val="Rimando nota a piè di pagina1"/>
    <w:next w:val="Rimandonotaapièdipagina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nchor_anti_marker">
    <w:name w:val="anchor_anti_marker"/>
    <w:next w:val="anchor_anti_marke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Verdana" w:cs="Arial" w:eastAsia="Franklin Gothic Medium Cond" w:hAnsi="Verdana"/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tterenotadichiusura">
    <w:name w:val="WW-Carattere nota di chiusura"/>
    <w:next w:val="WW-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Lineaorizzontale">
    <w:name w:val="Linea orizzontale"/>
    <w:basedOn w:val="Normale"/>
    <w:next w:val="Corpodeltesto"/>
    <w:autoRedefine w:val="0"/>
    <w:hidden w:val="0"/>
    <w:qFormat w:val="0"/>
    <w:pPr>
      <w:widowControl w:val="0"/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12"/>
      <w:szCs w:val="12"/>
      <w:effect w:val="none"/>
      <w:vertAlign w:val="baseline"/>
      <w:cs w:val="0"/>
      <w:em w:val="none"/>
      <w:lang w:bidi="hi-IN" w:eastAsia="hi-I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tabs>
        <w:tab w:val="center" w:leader="none" w:pos="5233"/>
        <w:tab w:val="right" w:leader="none" w:pos="1046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widowControl w:val="0"/>
      <w:suppressLineNumbers w:val="1"/>
      <w:suppressAutoHyphens w:val="0"/>
      <w:spacing w:after="0" w:before="0" w:line="1" w:lineRule="atLeast"/>
      <w:ind w:left="283" w:right="0" w:leftChars="-1" w:rightChars="0" w:hanging="283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hi-IN" w:val="it-IT"/>
    </w:rPr>
  </w:style>
  <w:style w:type="paragraph" w:styleId="BlockText">
    <w:name w:val="Block Text"/>
    <w:basedOn w:val="Normale"/>
    <w:next w:val="BlockText"/>
    <w:autoRedefine w:val="0"/>
    <w:hidden w:val="0"/>
    <w:qFormat w:val="0"/>
    <w:pPr>
      <w:widowControl w:val="0"/>
      <w:tabs>
        <w:tab w:val="left" w:leader="none" w:pos="15960"/>
      </w:tabs>
      <w:suppressAutoHyphens w:val="0"/>
      <w:spacing w:after="0" w:before="360" w:line="1" w:lineRule="atLeast"/>
      <w:ind w:left="7440" w:right="551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Lucida Sans Unicode" w:hAnsi="Arial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widowControl w:val="0"/>
      <w:suppressAutoHyphens w:val="0"/>
      <w:overflowPunct w:val="1"/>
      <w:autoSpaceDE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provv_r0">
    <w:name w:val="provv_r0"/>
    <w:basedOn w:val="Normale"/>
    <w:next w:val="provv_r0"/>
    <w:autoRedefine w:val="0"/>
    <w:hidden w:val="0"/>
    <w:qFormat w:val="0"/>
    <w:pPr>
      <w:widowControl w:val="0"/>
      <w:suppressAutoHyphens w:val="0"/>
      <w:overflowPunct w:val="1"/>
      <w:autoSpaceDE w:val="1"/>
      <w:spacing w:after="100" w:before="100" w:line="1" w:lineRule="atLeast"/>
      <w:ind w:leftChars="-1" w:rightChars="0" w:firstLineChars="-1"/>
      <w:jc w:val="both"/>
      <w:textDirection w:val="btLr"/>
      <w:textAlignment w:val="auto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provv_r1">
    <w:name w:val="provv_r1"/>
    <w:basedOn w:val="Normale"/>
    <w:next w:val="provv_r1"/>
    <w:autoRedefine w:val="0"/>
    <w:hidden w:val="0"/>
    <w:qFormat w:val="0"/>
    <w:pPr>
      <w:widowControl w:val="0"/>
      <w:suppressAutoHyphens w:val="0"/>
      <w:overflowPunct w:val="1"/>
      <w:autoSpaceDE w:val="1"/>
      <w:spacing w:after="100" w:before="100" w:line="1" w:lineRule="atLeast"/>
      <w:ind w:left="0" w:right="0" w:leftChars="-1" w:rightChars="0" w:firstLine="400" w:firstLineChars="-1"/>
      <w:jc w:val="both"/>
      <w:textDirection w:val="btLr"/>
      <w:textAlignment w:val="auto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Contenutocornice">
    <w:name w:val="Contenuto cornice"/>
    <w:basedOn w:val="Normale"/>
    <w:next w:val="Contenutocornic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hi-IN" w:eastAsia="hi-IN" w:val="it-IT"/>
    </w:rPr>
  </w:style>
  <w:style w:type="paragraph" w:styleId="ElencoTrattino">
    <w:name w:val="ElencoTrattino"/>
    <w:basedOn w:val="Normale"/>
    <w:next w:val="ElencoTrattino"/>
    <w:autoRedefine w:val="0"/>
    <w:hidden w:val="0"/>
    <w:qFormat w:val="0"/>
    <w:pPr>
      <w:widowControl w:val="0"/>
      <w:numPr>
        <w:ilvl w:val="0"/>
        <w:numId w:val="3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provv_estremo">
    <w:name w:val="provv_estremo"/>
    <w:basedOn w:val="Normale"/>
    <w:next w:val="provv_estremo"/>
    <w:autoRedefine w:val="0"/>
    <w:hidden w:val="0"/>
    <w:qFormat w:val="0"/>
    <w:pPr>
      <w:widowControl w:val="0"/>
      <w:suppressAutoHyphens w:val="0"/>
      <w:overflowPunct w:val="1"/>
      <w:autoSpaceDE w:val="1"/>
      <w:spacing w:after="100" w:before="100" w:line="1" w:lineRule="atLeast"/>
      <w:ind w:leftChars="-1" w:rightChars="0" w:firstLineChars="-1"/>
      <w:jc w:val="both"/>
      <w:textDirection w:val="btLr"/>
      <w:textAlignment w:val="auto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WW-BodyText21">
    <w:name w:val="WW-Body Text 21"/>
    <w:basedOn w:val="Normale"/>
    <w:next w:val="WW-BodyText21"/>
    <w:autoRedefine w:val="0"/>
    <w:hidden w:val="0"/>
    <w:qFormat w:val="0"/>
    <w:pPr>
      <w:widowControl w:val="0"/>
      <w:tabs>
        <w:tab w:val="left" w:leader="none" w:pos="1440"/>
      </w:tabs>
      <w:suppressAutoHyphens w:val="0"/>
      <w:spacing w:after="0" w:before="60" w:line="1" w:lineRule="atLeast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Georgia" w:cs="Georgia" w:eastAsia="Lucida Sans Unicode" w:hAnsi="Georgia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WW-BodyText2">
    <w:name w:val="WW-Body Text 2"/>
    <w:basedOn w:val="Normale"/>
    <w:next w:val="WW-BodyText2"/>
    <w:autoRedefine w:val="0"/>
    <w:hidden w:val="0"/>
    <w:qFormat w:val="0"/>
    <w:pPr>
      <w:widowControl w:val="0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uppressAutoHyphens w:val="0"/>
      <w:spacing w:after="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eorgia" w:cs="Georgia" w:eastAsia="Lucida Sans Unicode" w:hAnsi="Georgia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BodyText3">
    <w:name w:val="Body Text 3"/>
    <w:basedOn w:val="Normale"/>
    <w:next w:val="BodyText3"/>
    <w:autoRedefine w:val="0"/>
    <w:hidden w:val="0"/>
    <w:qFormat w:val="0"/>
    <w:pPr>
      <w:widowControl w:val="0"/>
      <w:tabs>
        <w:tab w:val="left" w:leader="none" w:pos="0"/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360"/>
      </w:tabs>
      <w:suppressAutoHyphens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orgia" w:cs="Georgia" w:eastAsia="Lucida Sans Unicode" w:hAnsi="Georgia"/>
      <w:spacing w:val="-3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widowControl w:val="0"/>
      <w:suppressAutoHyphens w:val="0"/>
      <w:spacing w:after="0" w:before="60" w:line="1" w:lineRule="atLeast"/>
      <w:ind w:left="4820" w:right="0" w:leftChars="-1" w:rightChars="0" w:firstLine="0" w:firstLineChars="-1"/>
      <w:jc w:val="center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10">
    <w:name w:val="Intestazione 10"/>
    <w:basedOn w:val="Intestazione1"/>
    <w:next w:val="Corpodeltesto"/>
    <w:autoRedefine w:val="0"/>
    <w:hidden w:val="0"/>
    <w:qFormat w:val="0"/>
    <w:pPr>
      <w:keepNext w:val="1"/>
      <w:widowControl w:val="0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arpae.it/it/autorizzazioni-e-concessioni/autorizzazioni-ambientali/energia/produzione-energia-da-fonti-rinnovabil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arpae.it/it/sedi-e-contatti/servizi-autorizzazioni-e-concessioni-in-regi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7jTQlg7CAKx0d8IRYYP2ti5C4Q==">CgMxLjAaJQoBMBIgCh4IB0IaCgZUYWhvbWESEEFyaWFsIFVuaWNvZGUgTVMaJQoBMRIgCh4IB0IaCgZUYWhvbWESEEFyaWFsIFVuaWNvZGUgTVMaJQoBMhIgCh4IB0IaCgZUYWhvbWESEEFyaWFsIFVuaWNvZGUgTVMaJQoBMxIgCh4IB0IaCgZUYWhvbWESEEFyaWFsIFVuaWNvZGUgTVM4AGojChRzdWdnZXN0LmpmZmtncjJmZWhpdRILTGF1cmEgU29sbWlyITFUYXpYQ01STGM1MmhVMkQzV2ZHMUYyUWlFaXBFY2l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2017-02-07T09:59:00Z</dcterms:created>
  <dc:creator>Ambrose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