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03" w:rsidRPr="0005701E" w:rsidRDefault="00AA22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567"/>
        <w:jc w:val="both"/>
        <w:rPr>
          <w:rFonts w:ascii="EB Garamond" w:eastAsia="EB Garamond" w:hAnsi="EB Garamond" w:cs="EB Garamond"/>
          <w:color w:val="000000"/>
          <w:sz w:val="24"/>
          <w:szCs w:val="24"/>
        </w:rPr>
      </w:pPr>
      <w:r w:rsidRPr="0005701E">
        <w:rPr>
          <w:rFonts w:ascii="EB Garamond" w:eastAsia="EB Garamond" w:hAnsi="EB Garamond" w:cs="EB Garamond"/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539750</wp:posOffset>
            </wp:positionH>
            <wp:positionV relativeFrom="page">
              <wp:posOffset>539750</wp:posOffset>
            </wp:positionV>
            <wp:extent cx="1253490" cy="767715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767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5C03" w:rsidRPr="0005701E" w:rsidRDefault="003F5C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567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3F5C03" w:rsidRPr="0005701E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3F5C03" w:rsidRPr="0005701E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 w:rsidRPr="0005701E">
        <w:rPr>
          <w:b/>
          <w:color w:val="000000"/>
          <w:sz w:val="24"/>
          <w:szCs w:val="24"/>
        </w:rPr>
        <w:t xml:space="preserve">DICHIARAZIONE SOSTITUTIVA </w:t>
      </w:r>
      <w:proofErr w:type="spellStart"/>
      <w:r w:rsidRPr="0005701E">
        <w:rPr>
          <w:b/>
          <w:color w:val="000000"/>
          <w:sz w:val="24"/>
          <w:szCs w:val="24"/>
        </w:rPr>
        <w:t>DI</w:t>
      </w:r>
      <w:proofErr w:type="spellEnd"/>
      <w:r w:rsidRPr="0005701E">
        <w:rPr>
          <w:b/>
          <w:color w:val="000000"/>
          <w:sz w:val="24"/>
          <w:szCs w:val="24"/>
        </w:rPr>
        <w:t xml:space="preserve"> ATTO NOTORIO E </w:t>
      </w:r>
      <w:proofErr w:type="spellStart"/>
      <w:r w:rsidRPr="0005701E">
        <w:rPr>
          <w:b/>
          <w:color w:val="000000"/>
          <w:sz w:val="24"/>
          <w:szCs w:val="24"/>
        </w:rPr>
        <w:t>DI</w:t>
      </w:r>
      <w:proofErr w:type="spellEnd"/>
      <w:r w:rsidRPr="0005701E">
        <w:rPr>
          <w:b/>
          <w:color w:val="000000"/>
          <w:sz w:val="24"/>
          <w:szCs w:val="24"/>
        </w:rPr>
        <w:t xml:space="preserve"> CERTIFICAZIONE AI SENSI DEGLI </w:t>
      </w:r>
      <w:proofErr w:type="spellStart"/>
      <w:r w:rsidRPr="0005701E">
        <w:rPr>
          <w:b/>
          <w:color w:val="000000"/>
          <w:sz w:val="24"/>
          <w:szCs w:val="24"/>
        </w:rPr>
        <w:t>ARTT</w:t>
      </w:r>
      <w:proofErr w:type="spellEnd"/>
      <w:r w:rsidRPr="0005701E">
        <w:rPr>
          <w:b/>
          <w:color w:val="000000"/>
          <w:sz w:val="24"/>
          <w:szCs w:val="24"/>
        </w:rPr>
        <w:t>. 46 E 47 DEL  DPR n. 445/2000</w:t>
      </w:r>
    </w:p>
    <w:p w:rsidR="003F5C03" w:rsidRPr="0005701E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 w:rsidRPr="0005701E">
        <w:rPr>
          <w:b/>
          <w:color w:val="000000"/>
          <w:sz w:val="22"/>
          <w:szCs w:val="22"/>
        </w:rPr>
        <w:t xml:space="preserve">PROCEDURA </w:t>
      </w:r>
      <w:proofErr w:type="spellStart"/>
      <w:r w:rsidRPr="0005701E">
        <w:rPr>
          <w:b/>
          <w:color w:val="000000"/>
          <w:sz w:val="22"/>
          <w:szCs w:val="22"/>
        </w:rPr>
        <w:t>DI</w:t>
      </w:r>
      <w:proofErr w:type="spellEnd"/>
      <w:r w:rsidRPr="0005701E">
        <w:rPr>
          <w:b/>
          <w:color w:val="000000"/>
          <w:sz w:val="22"/>
          <w:szCs w:val="22"/>
        </w:rPr>
        <w:t xml:space="preserve"> CONFERIMENTO </w:t>
      </w:r>
      <w:proofErr w:type="spellStart"/>
      <w:r w:rsidRPr="0005701E">
        <w:rPr>
          <w:b/>
          <w:color w:val="000000"/>
          <w:sz w:val="22"/>
          <w:szCs w:val="22"/>
        </w:rPr>
        <w:t>DI</w:t>
      </w:r>
      <w:proofErr w:type="spellEnd"/>
      <w:r w:rsidRPr="0005701E">
        <w:rPr>
          <w:b/>
          <w:color w:val="000000"/>
          <w:sz w:val="22"/>
          <w:szCs w:val="22"/>
        </w:rPr>
        <w:t xml:space="preserve"> INCARICO </w:t>
      </w:r>
      <w:proofErr w:type="spellStart"/>
      <w:r w:rsidRPr="0005701E">
        <w:rPr>
          <w:b/>
          <w:color w:val="000000"/>
          <w:sz w:val="22"/>
          <w:szCs w:val="22"/>
        </w:rPr>
        <w:t>DI</w:t>
      </w:r>
      <w:proofErr w:type="spellEnd"/>
      <w:r w:rsidRPr="0005701E">
        <w:rPr>
          <w:b/>
          <w:color w:val="000000"/>
          <w:sz w:val="22"/>
          <w:szCs w:val="22"/>
        </w:rPr>
        <w:t xml:space="preserve"> PRESTAZIONE D’OPERA INTELLETTUALE </w:t>
      </w:r>
      <w:proofErr w:type="spellStart"/>
      <w:r w:rsidRPr="0005701E">
        <w:rPr>
          <w:b/>
          <w:color w:val="000000"/>
          <w:sz w:val="22"/>
          <w:szCs w:val="22"/>
        </w:rPr>
        <w:t>DI</w:t>
      </w:r>
      <w:proofErr w:type="spellEnd"/>
      <w:r w:rsidRPr="0005701E">
        <w:rPr>
          <w:b/>
          <w:color w:val="000000"/>
          <w:sz w:val="22"/>
          <w:szCs w:val="22"/>
        </w:rPr>
        <w:t xml:space="preserve"> NATURA OCCASIONALE NELL’AMBITO DEL PROGETTO </w:t>
      </w:r>
      <w:r w:rsidRPr="0005701E">
        <w:rPr>
          <w:b/>
          <w:color w:val="000000"/>
          <w:sz w:val="22"/>
          <w:szCs w:val="22"/>
        </w:rPr>
        <w:t>“</w:t>
      </w:r>
      <w:r w:rsidRPr="0005701E">
        <w:rPr>
          <w:b/>
          <w:sz w:val="22"/>
          <w:szCs w:val="22"/>
        </w:rPr>
        <w:t>VALUTAZIONE AMBIENTALE STRATEGICA DEL PIANO TRIENNALE ATTUATIVO DEL PIANO ENERGETICO REGIONALE 2021-2023</w:t>
      </w:r>
      <w:r w:rsidRPr="0005701E">
        <w:rPr>
          <w:b/>
          <w:color w:val="000000"/>
          <w:sz w:val="22"/>
          <w:szCs w:val="22"/>
        </w:rPr>
        <w:t>”</w:t>
      </w:r>
      <w:r w:rsidRPr="0005701E">
        <w:rPr>
          <w:b/>
          <w:color w:val="000000"/>
          <w:sz w:val="22"/>
          <w:szCs w:val="22"/>
        </w:rPr>
        <w:t xml:space="preserve">). ( </w:t>
      </w:r>
      <w:r w:rsidRPr="0005701E">
        <w:rPr>
          <w:b/>
          <w:color w:val="000000"/>
          <w:sz w:val="22"/>
          <w:szCs w:val="22"/>
          <w:vertAlign w:val="superscript"/>
        </w:rPr>
        <w:footnoteReference w:id="1"/>
      </w:r>
      <w:r w:rsidRPr="0005701E">
        <w:rPr>
          <w:b/>
          <w:color w:val="000000"/>
          <w:sz w:val="22"/>
          <w:szCs w:val="22"/>
        </w:rPr>
        <w:t xml:space="preserve"> )</w:t>
      </w: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________________________________________________________</w:t>
      </w: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sotto la propria responsabilità e consapevole di quanto disposto dall’art. 76 del DPR n. 445/2000 e dall’art. 495 del c.p. in caso di dichiarazioni mendaci,</w:t>
      </w: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fini di quanto previsto dall’art. 1 c. 42 lett. h) della L. 190/2012</w:t>
      </w:r>
      <w:r>
        <w:rPr>
          <w:color w:val="000000"/>
          <w:sz w:val="24"/>
          <w:szCs w:val="24"/>
        </w:rPr>
        <w:tab/>
      </w: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hanging="22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che non è coniuge, convivente, né parente, </w:t>
      </w:r>
      <w:proofErr w:type="spellStart"/>
      <w:r>
        <w:rPr>
          <w:color w:val="000000"/>
          <w:sz w:val="24"/>
          <w:szCs w:val="24"/>
        </w:rPr>
        <w:t>nè</w:t>
      </w:r>
      <w:proofErr w:type="spellEnd"/>
      <w:r>
        <w:rPr>
          <w:color w:val="000000"/>
          <w:sz w:val="24"/>
          <w:szCs w:val="24"/>
        </w:rPr>
        <w:t xml:space="preserve"> affine fino al quarto grado compreso del soggetto conferente l’incarico in oggetto, del responsabile del procedimento in esame, </w:t>
      </w:r>
      <w:proofErr w:type="spellStart"/>
      <w:r>
        <w:rPr>
          <w:color w:val="000000"/>
          <w:sz w:val="24"/>
          <w:szCs w:val="24"/>
        </w:rPr>
        <w:t>nonchè</w:t>
      </w:r>
      <w:proofErr w:type="spellEnd"/>
      <w:r>
        <w:rPr>
          <w:color w:val="000000"/>
          <w:sz w:val="24"/>
          <w:szCs w:val="24"/>
        </w:rPr>
        <w:t xml:space="preserve"> del responsabile del progetto(</w:t>
      </w:r>
      <w:r>
        <w:rPr>
          <w:b/>
          <w:color w:val="000000"/>
          <w:sz w:val="21"/>
          <w:szCs w:val="21"/>
          <w:vertAlign w:val="superscript"/>
        </w:rPr>
        <w:footnoteReference w:id="2"/>
      </w:r>
      <w:r>
        <w:rPr>
          <w:color w:val="000000"/>
          <w:sz w:val="24"/>
          <w:szCs w:val="24"/>
        </w:rPr>
        <w:t>);</w:t>
      </w: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hanging="22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che non sussistono rapporti personali d</w:t>
      </w:r>
      <w:r>
        <w:rPr>
          <w:color w:val="000000"/>
          <w:sz w:val="24"/>
          <w:szCs w:val="24"/>
        </w:rPr>
        <w:t xml:space="preserve">i debito/credito, rapporti personali di tipo economico, commerciale, professionale, finanziario con il  soggetto conferente l’incarico in oggetto, con il  responsabile del procedimento in esame, </w:t>
      </w:r>
      <w:proofErr w:type="spellStart"/>
      <w:r>
        <w:rPr>
          <w:color w:val="000000"/>
          <w:sz w:val="24"/>
          <w:szCs w:val="24"/>
        </w:rPr>
        <w:t>nonchè</w:t>
      </w:r>
      <w:proofErr w:type="spellEnd"/>
      <w:r>
        <w:rPr>
          <w:color w:val="000000"/>
          <w:sz w:val="24"/>
          <w:szCs w:val="24"/>
        </w:rPr>
        <w:t xml:space="preserve"> con il responsabile del progetto;</w:t>
      </w: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hanging="22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che, per quanto di</w:t>
      </w:r>
      <w:r>
        <w:rPr>
          <w:color w:val="000000"/>
          <w:sz w:val="24"/>
          <w:szCs w:val="24"/>
        </w:rPr>
        <w:t xml:space="preserve"> propria conoscenza, non presta attività a favore di soggetti sottoposti a procedure sanzionatorie da parte di </w:t>
      </w:r>
      <w:proofErr w:type="spellStart"/>
      <w:r>
        <w:rPr>
          <w:color w:val="000000"/>
          <w:sz w:val="24"/>
          <w:szCs w:val="24"/>
        </w:rPr>
        <w:t>Arpae</w:t>
      </w:r>
      <w:proofErr w:type="spellEnd"/>
      <w:r>
        <w:rPr>
          <w:color w:val="000000"/>
          <w:sz w:val="24"/>
          <w:szCs w:val="24"/>
        </w:rPr>
        <w:t xml:space="preserve"> o per le quali l'Agenzia svolge un ruolo istruttorio/</w:t>
      </w:r>
      <w:proofErr w:type="spellStart"/>
      <w:r>
        <w:rPr>
          <w:color w:val="000000"/>
          <w:sz w:val="24"/>
          <w:szCs w:val="24"/>
        </w:rPr>
        <w:t>autorizzatorio</w:t>
      </w:r>
      <w:proofErr w:type="spellEnd"/>
      <w:r>
        <w:rPr>
          <w:color w:val="000000"/>
          <w:sz w:val="24"/>
          <w:szCs w:val="24"/>
        </w:rPr>
        <w:t xml:space="preserve"> in procedimenti amministrativi;</w:t>
      </w: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hanging="22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che non svolge attività in conflitto </w:t>
      </w:r>
      <w:r>
        <w:rPr>
          <w:color w:val="000000"/>
          <w:sz w:val="24"/>
          <w:szCs w:val="24"/>
        </w:rPr>
        <w:t xml:space="preserve">di interessi con le funzioni istituzionali di </w:t>
      </w:r>
      <w:proofErr w:type="spellStart"/>
      <w:r>
        <w:rPr>
          <w:color w:val="000000"/>
          <w:sz w:val="24"/>
          <w:szCs w:val="24"/>
        </w:rPr>
        <w:t>Arpae</w:t>
      </w:r>
      <w:proofErr w:type="spellEnd"/>
      <w:r>
        <w:rPr>
          <w:color w:val="000000"/>
          <w:sz w:val="24"/>
          <w:szCs w:val="24"/>
        </w:rPr>
        <w:t>, avendo riguardo anche alle disposizioni di cui all’art. 7 del DPR n. 62/2013, applicabili per quanto compatibili con riferimento ai contenuti ed alla natura del contratto di lavoro autonomo in oggetto (</w:t>
      </w:r>
      <w:r>
        <w:rPr>
          <w:b/>
          <w:color w:val="000000"/>
          <w:sz w:val="21"/>
          <w:szCs w:val="21"/>
          <w:vertAlign w:val="superscript"/>
        </w:rPr>
        <w:footnoteReference w:id="3"/>
      </w:r>
      <w:r>
        <w:rPr>
          <w:color w:val="000000"/>
          <w:sz w:val="24"/>
          <w:szCs w:val="24"/>
        </w:rPr>
        <w:t>);</w:t>
      </w: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hanging="22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</w:t>
      </w:r>
      <w:r>
        <w:rPr>
          <w:color w:val="000000"/>
          <w:sz w:val="24"/>
          <w:szCs w:val="24"/>
        </w:rPr>
        <w:tab/>
        <w:t xml:space="preserve">che non sussiste alcuna delle condizioni di incompatibilità di cui all’art. 5 della Disciplina in materia di conferimento di incarichi di prestazione d’opera intellettuale, con contratti di lavoro autonomo presso </w:t>
      </w:r>
      <w:proofErr w:type="spellStart"/>
      <w:r>
        <w:rPr>
          <w:color w:val="000000"/>
          <w:sz w:val="24"/>
          <w:szCs w:val="24"/>
        </w:rPr>
        <w:t>Arpae</w:t>
      </w:r>
      <w:proofErr w:type="spellEnd"/>
      <w:r>
        <w:rPr>
          <w:color w:val="000000"/>
          <w:sz w:val="24"/>
          <w:szCs w:val="24"/>
        </w:rPr>
        <w:t xml:space="preserve"> Emilia-Romagna, approvata con DD</w:t>
      </w:r>
      <w:r>
        <w:rPr>
          <w:color w:val="000000"/>
          <w:sz w:val="24"/>
          <w:szCs w:val="24"/>
        </w:rPr>
        <w:t>G 46/2018.(</w:t>
      </w:r>
      <w:r>
        <w:rPr>
          <w:b/>
          <w:color w:val="000000"/>
          <w:sz w:val="21"/>
          <w:szCs w:val="21"/>
          <w:vertAlign w:val="superscript"/>
        </w:rPr>
        <w:footnoteReference w:id="4"/>
      </w:r>
      <w:r>
        <w:rPr>
          <w:color w:val="000000"/>
          <w:sz w:val="24"/>
          <w:szCs w:val="24"/>
        </w:rPr>
        <w:t>)</w:t>
      </w: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hanging="22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che non è già lavoratore privato o pubblico collocato in quiescenza (art. 5 c. 9 del </w:t>
      </w:r>
      <w:proofErr w:type="spellStart"/>
      <w:r>
        <w:rPr>
          <w:color w:val="000000"/>
          <w:sz w:val="24"/>
          <w:szCs w:val="24"/>
        </w:rPr>
        <w:t>DL</w:t>
      </w:r>
      <w:proofErr w:type="spellEnd"/>
      <w:r>
        <w:rPr>
          <w:color w:val="000000"/>
          <w:sz w:val="24"/>
          <w:szCs w:val="24"/>
        </w:rPr>
        <w:t xml:space="preserve"> 95/2012 convertito nella L. 135/2012 e successive modifiche con L. 114/2014 e L. 124/2015).</w:t>
      </w: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center"/>
        <w:rPr>
          <w:color w:val="000000"/>
          <w:sz w:val="22"/>
          <w:szCs w:val="22"/>
        </w:rPr>
      </w:pP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 ALTRESI’</w:t>
      </w: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fini di quanto previsto dall’art. 15 c. 1 lett. c) del d. </w:t>
      </w:r>
      <w:proofErr w:type="spellStart"/>
      <w:r>
        <w:rPr>
          <w:color w:val="000000"/>
          <w:sz w:val="24"/>
          <w:szCs w:val="24"/>
        </w:rPr>
        <w:t>lgs</w:t>
      </w:r>
      <w:proofErr w:type="spellEnd"/>
      <w:r>
        <w:rPr>
          <w:color w:val="000000"/>
          <w:sz w:val="24"/>
          <w:szCs w:val="24"/>
        </w:rPr>
        <w:t>. 33/2013</w:t>
      </w:r>
    </w:p>
    <w:p w:rsidR="003F5C03" w:rsidRDefault="00AA22D5">
      <w:pPr>
        <w:pStyle w:val="normal"/>
      </w:pPr>
      <w:r>
        <w:rPr>
          <w:i/>
        </w:rPr>
        <w:t>(barrare la casella)</w:t>
      </w:r>
    </w:p>
    <w:p w:rsidR="003F5C03" w:rsidRDefault="00AA22D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non svolge incarichi e/o non ha la titolarità di cariche in enti di diritto privato regolati o finanziati dalla Pubblica Amministrazione e/o non svolge attiv</w:t>
      </w:r>
      <w:r>
        <w:rPr>
          <w:color w:val="000000"/>
          <w:sz w:val="24"/>
          <w:szCs w:val="24"/>
        </w:rPr>
        <w:t>ità professionali;</w:t>
      </w:r>
    </w:p>
    <w:p w:rsidR="003F5C03" w:rsidRDefault="003F5C03">
      <w:pPr>
        <w:pStyle w:val="normal"/>
      </w:pPr>
    </w:p>
    <w:p w:rsidR="003F5C03" w:rsidRDefault="00AA22D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svolge incarichi e/o ha la titolarità di cariche in enti di diritto privato regolati o finanziati dalla Pubblica Amministrazione e/o svolge attività professionali, e precisamente:</w:t>
      </w:r>
    </w:p>
    <w:p w:rsidR="003F5C03" w:rsidRDefault="00AA22D5">
      <w:pPr>
        <w:pStyle w:val="normal"/>
      </w:pPr>
      <w:r>
        <w:rPr>
          <w:i/>
        </w:rPr>
        <w:t>(riportare gli incarichi e/o le cariche in enti di d</w:t>
      </w:r>
      <w:r>
        <w:rPr>
          <w:i/>
        </w:rPr>
        <w:t>iritto privato regolati o finanziati da PA e/o attività professionali)</w:t>
      </w:r>
    </w:p>
    <w:p w:rsidR="003F5C03" w:rsidRDefault="00AA22D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78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>incarico/carica di: _____________________________________________________;</w:t>
      </w:r>
    </w:p>
    <w:p w:rsidR="003F5C03" w:rsidRDefault="00AA22D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78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>a favore dell’ente: _____________________________________________________;</w:t>
      </w:r>
    </w:p>
    <w:p w:rsidR="003F5C03" w:rsidRDefault="00AA22D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78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>attività professionale di: _________________________________________________;</w:t>
      </w:r>
    </w:p>
    <w:p w:rsidR="003F5C03" w:rsidRDefault="00AA22D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78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>a favore di: ___________________________________________________________;</w:t>
      </w: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 lì __________</w:t>
      </w: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</w:t>
      </w: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(Firma</w:t>
      </w:r>
      <w:r>
        <w:rPr>
          <w:color w:val="000000"/>
        </w:rPr>
        <w:t>)</w:t>
      </w: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t>La presente istanza deve essere sottoscritta dall’interessato in presenza del dipendente addetto ovvero sottoscritta e presentata unitamente a copia fotostatica non autenticata di un documento di identità del sottoscrittore (art. 38 D.P.R. n. 445/2000).</w:t>
      </w: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i/>
          <w:color w:val="000000"/>
        </w:rPr>
        <w:t>__</w:t>
      </w:r>
      <w:r>
        <w:rPr>
          <w:i/>
          <w:color w:val="000000"/>
        </w:rPr>
        <w:t>________________________________________</w:t>
      </w: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i/>
          <w:color w:val="000000"/>
        </w:rPr>
        <w:t>Spazio riservato all’ufficio ricevente, da utilizzare in alternativa all’invio della copia fotostatica del documento di identità.</w:t>
      </w: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Certifico apposta, in mia presenza, la firma del dichiarante.        Il dipendente addetto _______________                                                                                                                                      </w:t>
      </w: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2"/>
          <w:szCs w:val="22"/>
          <w:u w:val="single"/>
        </w:rPr>
        <w:t>______________</w:t>
      </w:r>
      <w:r>
        <w:rPr>
          <w:color w:val="000000"/>
          <w:sz w:val="22"/>
          <w:szCs w:val="22"/>
          <w:u w:val="single"/>
        </w:rPr>
        <w:t>__________________________________________________________________</w:t>
      </w: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</w:p>
    <w:p w:rsidR="0005701E" w:rsidRDefault="0005701E">
      <w:pP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br w:type="page"/>
      </w: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2"/>
          <w:szCs w:val="22"/>
          <w:u w:val="single"/>
        </w:rPr>
        <w:t>ALLEGATO 1)</w:t>
      </w: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Estratto della Disciplina in materia di conferimento di incarichi di prestazione d’opera intellettuale, con contratti di lavoro autonomo presso </w:t>
      </w:r>
      <w:proofErr w:type="spellStart"/>
      <w:r>
        <w:rPr>
          <w:b/>
          <w:color w:val="000000"/>
        </w:rPr>
        <w:t>Arpae</w:t>
      </w:r>
      <w:proofErr w:type="spellEnd"/>
      <w:r>
        <w:rPr>
          <w:b/>
          <w:color w:val="000000"/>
        </w:rPr>
        <w:t xml:space="preserve"> Emilia-Romagna, approvata con DDG 46/2018.</w:t>
      </w: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b/>
          <w:color w:val="000000"/>
          <w:sz w:val="24"/>
          <w:szCs w:val="24"/>
        </w:rPr>
      </w:pPr>
      <w:r>
        <w:rPr>
          <w:b/>
          <w:color w:val="000000"/>
        </w:rPr>
        <w:t>Art. 5  (Incompatibilità)</w:t>
      </w:r>
    </w:p>
    <w:p w:rsidR="003F5C03" w:rsidRDefault="00AA22D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Non possono essere conferiti incarichi a persone che sono dipendenti a tempo indeterminato di </w:t>
      </w:r>
      <w:proofErr w:type="spellStart"/>
      <w:r>
        <w:rPr>
          <w:color w:val="000000"/>
        </w:rPr>
        <w:t>Arpae</w:t>
      </w:r>
      <w:proofErr w:type="spellEnd"/>
      <w:r>
        <w:rPr>
          <w:color w:val="000000"/>
        </w:rPr>
        <w:t xml:space="preserve"> o che hanno con essa un rapporto di servizio a qualunque titolo, sia lavorativo che onorario, tale da far ritenere che sussista un inserimento nella struttu</w:t>
      </w:r>
      <w:r>
        <w:rPr>
          <w:color w:val="000000"/>
        </w:rPr>
        <w:t>ra organizzativa dell’Agenzia.</w:t>
      </w:r>
    </w:p>
    <w:p w:rsidR="003F5C03" w:rsidRDefault="00AA22D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/>
        <w:jc w:val="both"/>
        <w:rPr>
          <w:color w:val="000000"/>
          <w:sz w:val="24"/>
          <w:szCs w:val="24"/>
        </w:rPr>
      </w:pPr>
      <w:r>
        <w:rPr>
          <w:color w:val="000000"/>
        </w:rPr>
        <w:t>E’ vietato, di norma, il cumulo di più incarichi professionali in capo al medesimo soggetto, nel medesimo periodo di tempo. Il conferimento, in via eccezionale, di un secondo incarico è ammesso purché ne sia data ampia e circ</w:t>
      </w:r>
      <w:r>
        <w:rPr>
          <w:color w:val="000000"/>
        </w:rPr>
        <w:t>ostanziata motivazione nel provvedimento.</w:t>
      </w:r>
    </w:p>
    <w:p w:rsidR="003F5C03" w:rsidRDefault="00AA22D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Le disposizioni di cui al comma 2 non si applicano allorché si tratti di incarichi di natura occasionale, di cui all’art. 2 comma 2, lett. b). Tali incarichi possono essere cumulati tra loro. Tuttavia, non possono </w:t>
      </w:r>
      <w:r>
        <w:rPr>
          <w:color w:val="000000"/>
        </w:rPr>
        <w:t xml:space="preserve">essere affidati, nell’ambito dell’intera rete </w:t>
      </w:r>
      <w:proofErr w:type="spellStart"/>
      <w:r>
        <w:rPr>
          <w:color w:val="000000"/>
        </w:rPr>
        <w:t>Arpae</w:t>
      </w:r>
      <w:proofErr w:type="spellEnd"/>
      <w:r>
        <w:rPr>
          <w:color w:val="000000"/>
        </w:rPr>
        <w:t xml:space="preserve">, allo stesso prestatore d’opera intellettuale più incarichi di natura occasionale, nel corso di uno stesso anno solare, che comportino un compenso lordo complessivo superiore a  5.000 €. </w:t>
      </w:r>
    </w:p>
    <w:p w:rsidR="003F5C03" w:rsidRDefault="00AA22D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/>
        <w:jc w:val="both"/>
        <w:rPr>
          <w:color w:val="000000"/>
          <w:sz w:val="24"/>
          <w:szCs w:val="24"/>
        </w:rPr>
      </w:pPr>
      <w:r>
        <w:rPr>
          <w:color w:val="000000"/>
        </w:rPr>
        <w:t>E' vietato il co</w:t>
      </w:r>
      <w:r>
        <w:rPr>
          <w:color w:val="000000"/>
        </w:rPr>
        <w:t>nferimento di incarichi a soggetti già lavoratori pubblici e privati collocati in quiescenza, a meno che non si tratti di incarichi o cariche conferiti a titolo gratuito, ai sensi dell'art. 5 c. 9 del D.L. n. 95/2012, convertito in L. 135/2012 e successive</w:t>
      </w:r>
      <w:r>
        <w:rPr>
          <w:color w:val="000000"/>
        </w:rPr>
        <w:t xml:space="preserve"> modifiche ed integrazioni.</w:t>
      </w:r>
    </w:p>
    <w:p w:rsidR="003F5C03" w:rsidRDefault="00AA22D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/>
        <w:jc w:val="both"/>
        <w:rPr>
          <w:color w:val="000000"/>
          <w:sz w:val="24"/>
          <w:szCs w:val="24"/>
        </w:rPr>
      </w:pPr>
      <w:r>
        <w:rPr>
          <w:color w:val="000000"/>
        </w:rPr>
        <w:t>Non possono essere conferiti incarichi di prestazione d’opera intellettuale ai soggetti che rientrano nel divieto di cui all’art. 14 commi 6 e 7 della presente Disciplina.</w:t>
      </w:r>
    </w:p>
    <w:p w:rsidR="003F5C03" w:rsidRDefault="00AA22D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Sono, altresì, fatte salve le disposizioni di cui all’art. 53 c. 14 del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>. n. 165/2001 con riferimento alla verifica nei confronti del soggetto incaricato dell’insussistenza di situazioni, anche potenziali, di conflitto di interessi, per le quali si r</w:t>
      </w:r>
      <w:r>
        <w:rPr>
          <w:color w:val="000000"/>
        </w:rPr>
        <w:t>invia a quanto indicato all’art. 14 c. 5 della presente Disciplina.</w:t>
      </w:r>
    </w:p>
    <w:p w:rsidR="003F5C03" w:rsidRDefault="00AA22D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/>
        <w:ind w:left="705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Ai sensi dell'art. 53 del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>. n. 165/2001, il conferimento di incarichi esterni a dipendenti di altre Pubbliche Amministrazioni può avvenire solo previa acquisizione dell’autorizzazion</w:t>
      </w:r>
      <w:r>
        <w:rPr>
          <w:color w:val="000000"/>
        </w:rPr>
        <w:t xml:space="preserve">e, per atto espresso o per silenzio assenso, da parte dell’ente di appartenenza, secondo le relative disposizioni regolamentari. </w:t>
      </w: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F5C03" w:rsidRDefault="00AA22D5">
      <w:pPr>
        <w:pStyle w:val="normal"/>
      </w:pPr>
      <w:r>
        <w:t>Art. 14, commi 6 e 7 (conferimento incarico)</w:t>
      </w:r>
    </w:p>
    <w:p w:rsidR="003F5C03" w:rsidRDefault="00AA22D5">
      <w:pPr>
        <w:pStyle w:val="normal"/>
      </w:pPr>
      <w:r>
        <w:t>(…)6. Anche in caso di espletamento di procedura comparativa mediante avviso pub</w:t>
      </w:r>
      <w:r>
        <w:t>blico, nei confronti del medesimo soggetto che sia già stato titolare di due precedenti incarichi di prestazione d’opera intellettuale di natura professionale consecutivi - o attivati in un intervallo temporale inferiore a 6 mesi - non è, comunque, ammesso</w:t>
      </w:r>
      <w:r>
        <w:t xml:space="preserve"> il conferimento di un terzo ulteriore incarico. Tale divieto non si applica qualora sia intercorso almeno un anno tra la scadenza dell’ultimo contratto ed il nuovo conferimento di prestazione d’opera intellettuale.</w:t>
      </w:r>
    </w:p>
    <w:p w:rsidR="003F5C03" w:rsidRDefault="00AA22D5">
      <w:pPr>
        <w:pStyle w:val="normal"/>
      </w:pPr>
      <w:r>
        <w:t>7. Il divieto di cui al comma precedente</w:t>
      </w:r>
      <w:r>
        <w:t xml:space="preserve"> opera unicamente nei confronti dei soggetti per i quali il corrispettivo derivante dalla prestazione resa a favore di </w:t>
      </w:r>
      <w:proofErr w:type="spellStart"/>
      <w:r>
        <w:t>Arpae</w:t>
      </w:r>
      <w:proofErr w:type="spellEnd"/>
      <w:r>
        <w:t xml:space="preserve"> costituisca più del 70 per cento dei corrispettivi annui complessivamente percepiti dall’incaricato stesso, nell’arco di due anni s</w:t>
      </w:r>
      <w:r>
        <w:t>olari consecutivi precedenti all’incarico da conferire</w:t>
      </w:r>
    </w:p>
    <w:p w:rsidR="003F5C03" w:rsidRDefault="003F5C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>ART. 7 del DPR n. 62/2013 “Regolamento recante codice di comportamento dei dipendenti pubblici, a norma dell'articolo 54 del decreto legislativo 30 marzo 2001, n. 165” (applicabile per quanto compatib</w:t>
      </w:r>
      <w:r>
        <w:rPr>
          <w:b/>
          <w:color w:val="000000"/>
        </w:rPr>
        <w:t>ile al contratto di lavoro autonomo ai sensi dell’art. 2 c. 3 del DPR 62/2013)</w:t>
      </w: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i/>
          <w:color w:val="000000"/>
        </w:rPr>
        <w:t>Obbligo di astensione</w:t>
      </w:r>
    </w:p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Il </w:t>
      </w:r>
      <w:r>
        <w:rPr>
          <w:i/>
          <w:color w:val="000000"/>
        </w:rPr>
        <w:t>[collaboratore]</w:t>
      </w:r>
      <w:r>
        <w:rPr>
          <w:color w:val="000000"/>
        </w:rPr>
        <w:t xml:space="preserve"> si astiene dal partecipare all'adozione di decisioni o ad attività che possano coinvolgere interessi propri, ovvero di suoi parenti, affini entro il secondo grado, del coniuge o di conviventi, oppure di persone con le quali abbia rapporti di frequentazion</w:t>
      </w:r>
      <w:r>
        <w:rPr>
          <w:color w:val="000000"/>
        </w:rPr>
        <w:t>e abituale, ovvero, di soggetti od organizzazioni con cui egli o il coniuge abbia causa pendente o grave inimicizia o rapporti di credito o debito significativi, ovvero di soggetti od organizzazioni di cui sia tutore, curatore, procuratore o agente, ovvero</w:t>
      </w:r>
      <w:r>
        <w:rPr>
          <w:color w:val="000000"/>
        </w:rPr>
        <w:t xml:space="preserve"> di enti, associazioni anche non riconosciute, comitati, società o stabilimenti di cui sia amministratore o gerente o dirigente. Il </w:t>
      </w:r>
      <w:r>
        <w:rPr>
          <w:i/>
          <w:color w:val="000000"/>
        </w:rPr>
        <w:t>[collaboratore]</w:t>
      </w:r>
      <w:r>
        <w:rPr>
          <w:color w:val="000000"/>
        </w:rPr>
        <w:t xml:space="preserve"> si astiene in ogni altro caso in cui esistano gravi ragioni di convenienza. Sull'astensione decide il respon</w:t>
      </w:r>
      <w:r>
        <w:rPr>
          <w:color w:val="000000"/>
        </w:rPr>
        <w:t>sabile dell'ufficio di appartenenza.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sectPr w:rsidR="003F5C03" w:rsidSect="003F5C03">
      <w:headerReference w:type="default" r:id="rId8"/>
      <w:footerReference w:type="default" r:id="rId9"/>
      <w:pgSz w:w="11906" w:h="16838"/>
      <w:pgMar w:top="1809" w:right="1134" w:bottom="1559" w:left="1134" w:header="1134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D5" w:rsidRDefault="00AA22D5" w:rsidP="003F5C03">
      <w:r>
        <w:separator/>
      </w:r>
    </w:p>
  </w:endnote>
  <w:endnote w:type="continuationSeparator" w:id="0">
    <w:p w:rsidR="00AA22D5" w:rsidRDefault="00AA22D5" w:rsidP="003F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EB Garamond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03" w:rsidRDefault="003F5C03">
    <w:pPr>
      <w:pStyle w:val="normal"/>
      <w:pBdr>
        <w:top w:val="nil"/>
        <w:left w:val="nil"/>
        <w:bottom w:val="nil"/>
        <w:right w:val="nil"/>
        <w:between w:val="nil"/>
      </w:pBdr>
      <w:spacing w:line="264" w:lineRule="auto"/>
      <w:ind w:left="555"/>
      <w:rPr>
        <w:b/>
        <w:color w:val="000000"/>
        <w:sz w:val="24"/>
        <w:szCs w:val="24"/>
      </w:rPr>
    </w:pPr>
  </w:p>
  <w:p w:rsidR="003F5C03" w:rsidRDefault="003F5C03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64" w:lineRule="auto"/>
      <w:ind w:left="567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D5" w:rsidRDefault="00AA22D5" w:rsidP="003F5C03">
      <w:r>
        <w:separator/>
      </w:r>
    </w:p>
  </w:footnote>
  <w:footnote w:type="continuationSeparator" w:id="0">
    <w:p w:rsidR="00AA22D5" w:rsidRDefault="00AA22D5" w:rsidP="003F5C03">
      <w:r>
        <w:continuationSeparator/>
      </w:r>
    </w:p>
  </w:footnote>
  <w:footnote w:id="1"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ab/>
      </w:r>
      <w:r>
        <w:rPr>
          <w:color w:val="000000"/>
        </w:rPr>
        <w:t xml:space="preserve"> La presente dichiarazione sarà pubblicata sul sito web istituzionale di </w:t>
      </w:r>
      <w:proofErr w:type="spellStart"/>
      <w:r>
        <w:rPr>
          <w:color w:val="000000"/>
        </w:rPr>
        <w:t>Arpae</w:t>
      </w:r>
      <w:proofErr w:type="spellEnd"/>
      <w:r>
        <w:rPr>
          <w:color w:val="000000"/>
        </w:rPr>
        <w:t>, in caso di conferimento dell’incarico in esame al soggetto sottoscrivente.</w:t>
      </w:r>
    </w:p>
  </w:footnote>
  <w:footnote w:id="2"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ab/>
        <w:t xml:space="preserve"> Soggetto conferente l’incarico è il dott. </w:t>
      </w:r>
      <w:r>
        <w:t>Eriberto De’ Munari</w:t>
      </w:r>
      <w:r>
        <w:rPr>
          <w:color w:val="000000"/>
        </w:rPr>
        <w:t>; Responsabile del Procedimento e del</w:t>
      </w:r>
      <w:r>
        <w:rPr>
          <w:color w:val="000000"/>
        </w:rPr>
        <w:t xml:space="preserve"> Progetto è </w:t>
      </w:r>
      <w:r>
        <w:t xml:space="preserve">l’ing. Leonardo </w:t>
      </w:r>
      <w:proofErr w:type="spellStart"/>
      <w:r>
        <w:t>Palumbo</w:t>
      </w:r>
      <w:proofErr w:type="spellEnd"/>
      <w:r>
        <w:rPr>
          <w:color w:val="000000"/>
        </w:rPr>
        <w:t xml:space="preserve">; </w:t>
      </w:r>
    </w:p>
  </w:footnote>
  <w:footnote w:id="3"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ab/>
        <w:t xml:space="preserve"> Vedi Allegato 1) - art. 7 del DPR 62/2013.</w:t>
      </w:r>
    </w:p>
  </w:footnote>
  <w:footnote w:id="4">
    <w:p w:rsidR="003F5C03" w:rsidRDefault="00AA22D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vertAlign w:val="superscript"/>
        </w:rPr>
        <w:footnoteRef/>
      </w:r>
      <w:r>
        <w:rPr>
          <w:b/>
          <w:color w:val="000000"/>
        </w:rPr>
        <w:tab/>
        <w:t xml:space="preserve"> </w:t>
      </w:r>
      <w:r>
        <w:rPr>
          <w:color w:val="000000"/>
        </w:rPr>
        <w:t>Vedi Allegato 1) - estratto della Disciplina approvata con DDG 46/2018.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03" w:rsidRDefault="003F5C0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819"/>
        <w:tab w:val="right" w:pos="10773"/>
      </w:tabs>
      <w:rPr>
        <w:b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6640B"/>
    <w:multiLevelType w:val="multilevel"/>
    <w:tmpl w:val="9E1072D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28155F8"/>
    <w:multiLevelType w:val="multilevel"/>
    <w:tmpl w:val="98BA8110"/>
    <w:lvl w:ilvl="0">
      <w:start w:val="1"/>
      <w:numFmt w:val="bullet"/>
      <w:lvlText w:val="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6F085552"/>
    <w:multiLevelType w:val="multilevel"/>
    <w:tmpl w:val="0240A274"/>
    <w:lvl w:ilvl="0">
      <w:start w:val="1"/>
      <w:numFmt w:val="bullet"/>
      <w:lvlText w:val="-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C03"/>
    <w:rsid w:val="0005701E"/>
    <w:rsid w:val="003F5C03"/>
    <w:rsid w:val="00AA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3F5C03"/>
    <w:pPr>
      <w:keepNext/>
      <w:pBdr>
        <w:top w:val="nil"/>
        <w:left w:val="nil"/>
        <w:bottom w:val="nil"/>
        <w:right w:val="nil"/>
        <w:between w:val="nil"/>
      </w:pBdr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Titolo2">
    <w:name w:val="heading 2"/>
    <w:basedOn w:val="normal"/>
    <w:next w:val="normal"/>
    <w:rsid w:val="003F5C03"/>
    <w:pPr>
      <w:keepNext/>
      <w:pBdr>
        <w:top w:val="nil"/>
        <w:left w:val="nil"/>
        <w:bottom w:val="nil"/>
        <w:right w:val="nil"/>
        <w:between w:val="nil"/>
      </w:pBdr>
      <w:spacing w:before="240" w:after="120"/>
      <w:ind w:left="576" w:hanging="576"/>
      <w:outlineLvl w:val="1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Titolo3">
    <w:name w:val="heading 3"/>
    <w:basedOn w:val="normal"/>
    <w:next w:val="normal"/>
    <w:rsid w:val="003F5C03"/>
    <w:pPr>
      <w:keepNext/>
      <w:pBdr>
        <w:top w:val="nil"/>
        <w:left w:val="nil"/>
        <w:bottom w:val="nil"/>
        <w:right w:val="nil"/>
        <w:between w:val="nil"/>
      </w:pBdr>
      <w:spacing w:before="240" w:after="120"/>
      <w:ind w:left="720" w:hanging="720"/>
      <w:outlineLvl w:val="2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3F5C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F5C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3F5C0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F5C03"/>
  </w:style>
  <w:style w:type="table" w:customStyle="1" w:styleId="TableNormal">
    <w:name w:val="Table Normal"/>
    <w:rsid w:val="003F5C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F5C0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F5C03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Liberation Sans" w:eastAsia="Liberation Sans" w:hAnsi="Liberation Sans" w:cs="Liberation Sans"/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dzaniboni</cp:lastModifiedBy>
  <cp:revision>3</cp:revision>
  <dcterms:created xsi:type="dcterms:W3CDTF">2022-03-15T15:05:00Z</dcterms:created>
  <dcterms:modified xsi:type="dcterms:W3CDTF">2022-03-15T15:06:00Z</dcterms:modified>
</cp:coreProperties>
</file>