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2004" w:leader="none"/>
        </w:tabs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hd w:fill="FFFFFF" w:val="clear"/>
        <w:spacing w:lineRule="auto" w:line="240" w:before="0" w:after="0"/>
        <w:ind w:left="0" w:right="51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vertAlign w:val="baseline"/>
        </w:rPr>
      </w:pPr>
      <w:bookmarkStart w:id="0" w:name="_heading=h.gjdgxs"/>
      <w:bookmarkEnd w:id="0"/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vertAlign w:val="baseline"/>
        </w:rPr>
        <w:t xml:space="preserve">Procedura aperta per l’affidamento dei servizi assicurativi </w:t>
      </w:r>
    </w:p>
    <w:p>
      <w:pPr>
        <w:pStyle w:val="Normal"/>
        <w:keepNext w:val="false"/>
        <w:keepLines w:val="false"/>
        <w:pageBreakBefore w:val="false"/>
        <w:widowControl w:val="false"/>
        <w:pBdr/>
        <w:shd w:fill="FFFFFF" w:val="clear"/>
        <w:spacing w:lineRule="auto" w:line="240" w:before="0" w:after="0"/>
        <w:ind w:left="0" w:right="51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hd w:fill="FFFFFF" w:val="clear"/>
        <w:spacing w:lineRule="auto" w:line="319" w:before="0" w:after="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366"/>
          <w:position w:val="0"/>
          <w:sz w:val="28"/>
          <w:sz w:val="28"/>
          <w:szCs w:val="28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3366"/>
          <w:position w:val="0"/>
          <w:sz w:val="28"/>
          <w:sz w:val="28"/>
          <w:szCs w:val="28"/>
          <w:u w:val="none"/>
          <w:vertAlign w:val="baseline"/>
        </w:rPr>
        <w:t>DICHIARAZIONE DI ACCETTAZIONE CAPITOLATO E INDICAZIONI OPZIONI MIGLIORATIVE</w:t>
      </w:r>
    </w:p>
    <w:p>
      <w:pPr>
        <w:pStyle w:val="Normal"/>
        <w:shd w:fill="FFFFFF" w:val="clear"/>
        <w:spacing w:lineRule="auto" w:line="319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ai sensi degli artt. 46 e 47 del D.P.R. n. 445/2000</w:t>
      </w:r>
    </w:p>
    <w:p>
      <w:pPr>
        <w:pStyle w:val="Normal"/>
        <w:keepNext w:val="false"/>
        <w:keepLines w:val="false"/>
        <w:pageBreakBefore w:val="false"/>
        <w:widowControl w:val="false"/>
        <w:pBdr/>
        <w:shd w:fill="FFFFFF" w:val="clear"/>
        <w:spacing w:lineRule="auto" w:line="319" w:before="0" w:after="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(da inserire nella busta "offerta tecnica")</w:t>
      </w:r>
    </w:p>
    <w:p>
      <w:pPr>
        <w:pStyle w:val="Titoloprincipale"/>
        <w:spacing w:lineRule="auto" w:line="199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Titoloprincipale"/>
        <w:spacing w:lineRule="auto" w:line="199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Titoloprincipale"/>
        <w:rPr>
          <w:rFonts w:ascii="Arial" w:hAnsi="Arial" w:eastAsia="Arial" w:cs="Arial"/>
          <w:b w:val="false"/>
          <w:b w:val="false"/>
          <w:sz w:val="20"/>
          <w:szCs w:val="20"/>
          <w:highlight w:val="white"/>
          <w:u w:val="none"/>
        </w:rPr>
      </w:pPr>
      <w:r>
        <w:rPr>
          <w:rFonts w:eastAsia="Arial" w:cs="Arial" w:ascii="Arial" w:hAnsi="Arial"/>
          <w:b w:val="false"/>
          <w:sz w:val="20"/>
          <w:szCs w:val="20"/>
          <w:highlight w:val="white"/>
          <w:u w:val="none"/>
        </w:rPr>
        <w:t xml:space="preserve">CIG 9036555118 </w:t>
      </w:r>
    </w:p>
    <w:p>
      <w:pPr>
        <w:pStyle w:val="Normal"/>
        <w:ind w:left="0" w:right="0" w:hanging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tbl>
      <w:tblPr>
        <w:tblW w:w="9778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8575"/>
      </w:tblGrid>
      <w:tr>
        <w:trPr>
          <w:trHeight w:val="63" w:hRule="atLeast"/>
        </w:trPr>
        <w:tc>
          <w:tcPr>
            <w:tcW w:w="1203" w:type="dxa"/>
            <w:tcBorders/>
            <w:shd w:fill="auto" w:val="clear"/>
          </w:tcPr>
          <w:p>
            <w:pPr>
              <w:pStyle w:val="Normal"/>
              <w:spacing w:before="0" w:after="200"/>
              <w:ind w:left="0" w:right="0" w:hanging="0"/>
              <w:rPr>
                <w:b/>
                <w:b/>
              </w:rPr>
            </w:pPr>
            <w:r>
              <w:rPr>
                <w:b/>
              </w:rPr>
              <w:t>Oggetto:</w:t>
            </w:r>
          </w:p>
        </w:tc>
        <w:tc>
          <w:tcPr>
            <w:tcW w:w="8575" w:type="dxa"/>
            <w:tcBorders/>
            <w:shd w:fill="auto" w:val="clear"/>
          </w:tcPr>
          <w:p>
            <w:pPr>
              <w:pStyle w:val="Normal"/>
              <w:spacing w:before="0" w:after="200"/>
              <w:ind w:left="0" w:right="0" w:hanging="0"/>
              <w:rPr/>
            </w:pPr>
            <w:bookmarkStart w:id="1" w:name="_heading=h.1fob9te"/>
            <w:bookmarkEnd w:id="1"/>
            <w:r>
              <w:rPr>
                <w:b/>
              </w:rPr>
              <w:t xml:space="preserve">Offerta tecnica per l’affidamento dei servizi assicurativi – </w:t>
            </w:r>
            <w:r>
              <w:rPr>
                <w:b/>
                <w:sz w:val="28"/>
                <w:szCs w:val="28"/>
              </w:rPr>
              <w:t>Lotto n. 5</w:t>
            </w:r>
            <w:r>
              <w:rPr>
                <w:b/>
              </w:rPr>
              <w:t>– Infortuni</w:t>
            </w:r>
          </w:p>
        </w:tc>
      </w:tr>
    </w:tbl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Il/la sottoscritto/a 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Nato/a _______________________________________________________________ il ________________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Residente in ____________________________ Via/Piazza ______________________________ n. ______ 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Codice fiscale 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qualità di legale rappresentante / procuratore fornito dei poteri necessari dell’impresa offerente ______________________________________________________________________________________</w:t>
      </w:r>
    </w:p>
    <w:p>
      <w:pPr>
        <w:pStyle w:val="Titolo1"/>
        <w:spacing w:lineRule="auto" w:line="319"/>
        <w:ind w:left="0" w:right="0" w:hanging="0"/>
        <w:jc w:val="left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Titolo1"/>
        <w:spacing w:lineRule="auto" w:line="218"/>
        <w:ind w:left="0" w:right="0" w:hanging="0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>DICHIARA</w:t>
      </w:r>
    </w:p>
    <w:p>
      <w:pPr>
        <w:pStyle w:val="Normal"/>
        <w:spacing w:lineRule="auto" w:line="158"/>
        <w:rPr/>
      </w:pPr>
      <w:r>
        <w:rPr/>
      </w:r>
    </w:p>
    <w:p>
      <w:pPr>
        <w:pStyle w:val="Normal"/>
        <w:widowControl/>
        <w:spacing w:lineRule="auto" w:line="259" w:before="120" w:after="0"/>
        <w:jc w:val="both"/>
        <w:rPr/>
      </w:pPr>
      <w:r>
        <w:rPr/>
        <w:t xml:space="preserve">di accettare integralmente </w:t>
      </w:r>
      <w:r>
        <w:rPr>
          <w:b/>
        </w:rPr>
        <w:t>senza alcuna riserva, né restrizione</w:t>
      </w:r>
      <w:r>
        <w:rPr/>
        <w:t xml:space="preserve"> tutte le clausole e le condizioni previste dal Capitolato Speciale</w:t>
      </w:r>
    </w:p>
    <w:p>
      <w:pPr>
        <w:pStyle w:val="Normal"/>
        <w:spacing w:lineRule="auto" w:line="259" w:before="16" w:after="0"/>
        <w:rPr/>
      </w:pPr>
      <w:r>
        <w:rPr/>
      </w:r>
    </w:p>
    <w:p>
      <w:pPr>
        <w:pStyle w:val="Normal"/>
        <w:spacing w:lineRule="auto" w:line="240" w:before="0" w:after="0"/>
        <w:ind w:left="116" w:right="60" w:hanging="0"/>
        <w:rPr>
          <w:b/>
          <w:b/>
        </w:rPr>
      </w:pPr>
      <w:r>
        <w:rPr>
          <w:b/>
        </w:rPr>
        <w:t>N.B. All'integrale accettazione delle condizioni del capitolato di assicurazione (assenza di opzione per qualsiasi variante) sono assegnati punti 0 ( zero).</w:t>
      </w:r>
    </w:p>
    <w:p>
      <w:pPr>
        <w:pStyle w:val="Normal"/>
        <w:tabs>
          <w:tab w:val="left" w:pos="2004" w:leader="none"/>
        </w:tabs>
        <w:spacing w:lineRule="auto" w:line="24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left" w:pos="2004" w:leader="none"/>
        </w:tabs>
        <w:spacing w:lineRule="auto" w:line="24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left" w:pos="2004" w:leader="none"/>
        </w:tabs>
        <w:spacing w:lineRule="auto" w:line="24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0" w:right="-20" w:hanging="0"/>
        <w:jc w:val="center"/>
        <w:rPr>
          <w:rFonts w:ascii="Arial" w:hAnsi="Arial" w:eastAsia="Arial" w:cs="Arial"/>
          <w:b/>
          <w:b/>
          <w:sz w:val="24"/>
          <w:szCs w:val="24"/>
        </w:rPr>
      </w:pPr>
      <w:bookmarkStart w:id="2" w:name="_heading=h.3znysh7"/>
      <w:bookmarkEnd w:id="2"/>
      <w:r>
        <w:rPr>
          <w:rFonts w:eastAsia="Arial" w:cs="Arial" w:ascii="Arial" w:hAnsi="Arial"/>
          <w:b/>
          <w:sz w:val="24"/>
          <w:szCs w:val="24"/>
        </w:rPr>
        <w:t>Varianti: punteggio massimo 70 punti – Barrare l’opzione prescelta</w:t>
      </w:r>
    </w:p>
    <w:p>
      <w:pPr>
        <w:pStyle w:val="Normal"/>
        <w:spacing w:lineRule="auto" w:line="240" w:before="0" w:after="0"/>
        <w:ind w:left="0" w:right="-20" w:hanging="0"/>
        <w:jc w:val="center"/>
        <w:rPr>
          <w:rFonts w:ascii="Arial" w:hAnsi="Arial" w:eastAsia="Arial" w:cs="Arial"/>
          <w:b/>
          <w:b/>
          <w:sz w:val="24"/>
          <w:szCs w:val="24"/>
        </w:rPr>
      </w:pPr>
      <w:bookmarkStart w:id="3" w:name="_heading=h.2et92p0"/>
      <w:bookmarkStart w:id="4" w:name="_heading=h.2et92p0"/>
      <w:bookmarkEnd w:id="4"/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57" w:right="57" w:hanging="0"/>
        <w:rPr/>
      </w:pPr>
      <w:bookmarkStart w:id="5" w:name="_heading=h.tyjcwt"/>
      <w:bookmarkStart w:id="6" w:name="_heading=h.tyjcwt"/>
      <w:bookmarkEnd w:id="6"/>
      <w:r>
        <w:rPr/>
      </w:r>
    </w:p>
    <w:tbl>
      <w:tblPr>
        <w:tblW w:w="8820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486"/>
        <w:gridCol w:w="5207"/>
        <w:gridCol w:w="2127"/>
      </w:tblGrid>
      <w:tr>
        <w:trPr>
          <w:trHeight w:val="428" w:hRule="atLeast"/>
        </w:trPr>
        <w:tc>
          <w:tcPr>
            <w:tcW w:w="8820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Variante n. 1</w:t>
            </w:r>
          </w:p>
        </w:tc>
      </w:tr>
      <w:tr>
        <w:trPr>
          <w:trHeight w:val="706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52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Termine denuncia dei sinistri (articolo 2.9 del capitolato)</w:t>
            </w:r>
          </w:p>
        </w:tc>
        <w:tc>
          <w:tcPr>
            <w:tcW w:w="21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>
          <w:trHeight w:val="575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i/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52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i/>
                <w:i/>
              </w:rPr>
            </w:pPr>
            <w:r>
              <w:rPr>
                <w:i/>
              </w:rPr>
              <w:t>30 giorni lavorativi dal momento della conoscenza</w:t>
            </w:r>
          </w:p>
        </w:tc>
        <w:tc>
          <w:tcPr>
            <w:tcW w:w="21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i/>
                <w:i/>
              </w:rPr>
            </w:pPr>
            <w:r>
              <w:rPr>
                <w:i/>
              </w:rPr>
              <w:t>0</w:t>
            </w:r>
          </w:p>
        </w:tc>
      </w:tr>
      <w:tr>
        <w:trPr>
          <w:trHeight w:val="569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/>
              <w:t xml:space="preserve"> </w:t>
            </w:r>
            <w:r>
              <w:rPr/>
              <w:t>Variante A</w:t>
            </w:r>
          </w:p>
        </w:tc>
        <w:tc>
          <w:tcPr>
            <w:tcW w:w="52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60 giorni lavorativi dal momento della conoscenza</w:t>
            </w:r>
          </w:p>
        </w:tc>
        <w:tc>
          <w:tcPr>
            <w:tcW w:w="21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10</w:t>
            </w:r>
          </w:p>
        </w:tc>
      </w:tr>
    </w:tbl>
    <w:p>
      <w:pPr>
        <w:pStyle w:val="Normal"/>
        <w:spacing w:lineRule="auto" w:line="240" w:before="0" w:after="0"/>
        <w:ind w:left="57" w:right="57" w:hanging="0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lineRule="auto" w:line="240" w:before="0" w:after="0"/>
        <w:ind w:left="57" w:right="57" w:hanging="0"/>
        <w:rPr/>
      </w:pPr>
      <w:r>
        <w:rPr/>
      </w:r>
    </w:p>
    <w:p>
      <w:pPr>
        <w:pStyle w:val="Normal"/>
        <w:spacing w:lineRule="auto" w:line="240" w:before="0" w:after="0"/>
        <w:ind w:left="57" w:right="57" w:hanging="0"/>
        <w:rPr/>
      </w:pPr>
      <w:r>
        <w:rPr/>
      </w:r>
    </w:p>
    <w:p>
      <w:pPr>
        <w:pStyle w:val="Normal"/>
        <w:shd w:fill="FFFFFF" w:val="clear"/>
        <w:spacing w:lineRule="auto" w:line="319"/>
        <w:ind w:left="0" w:right="51" w:hanging="0"/>
        <w:jc w:val="center"/>
        <w:rPr>
          <w:b/>
          <w:b/>
          <w:color w:val="003366"/>
        </w:rPr>
      </w:pPr>
      <w:r>
        <w:rPr>
          <w:b/>
          <w:color w:val="003366"/>
        </w:rPr>
      </w:r>
    </w:p>
    <w:p>
      <w:pPr>
        <w:pStyle w:val="Normal"/>
        <w:spacing w:lineRule="auto" w:line="240" w:before="0" w:after="0"/>
        <w:ind w:left="57" w:right="57" w:hanging="0"/>
        <w:rPr/>
      </w:pPr>
      <w:r>
        <w:rPr/>
      </w:r>
    </w:p>
    <w:tbl>
      <w:tblPr>
        <w:tblW w:w="8820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486"/>
        <w:gridCol w:w="5455"/>
        <w:gridCol w:w="1879"/>
      </w:tblGrid>
      <w:tr>
        <w:trPr>
          <w:trHeight w:val="284" w:hRule="atLeast"/>
        </w:trPr>
        <w:tc>
          <w:tcPr>
            <w:tcW w:w="8820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Variante n. 2</w:t>
            </w:r>
          </w:p>
        </w:tc>
      </w:tr>
      <w:tr>
        <w:trPr>
          <w:trHeight w:val="674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545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Supervalutazione invalidità permanente Art 2. 13 dell’Invalidità permanente</w:t>
            </w:r>
          </w:p>
        </w:tc>
        <w:tc>
          <w:tcPr>
            <w:tcW w:w="187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>
          <w:trHeight w:val="854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>
                <w:i/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545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rPr/>
            </w:pPr>
            <w:r>
              <w:rPr/>
              <w:t>Nei casi di invalidità permanente di grado pari o superiore al 66% sarà liquidata l'intera indennità assicurata a tale titolo</w:t>
            </w:r>
          </w:p>
        </w:tc>
        <w:tc>
          <w:tcPr>
            <w:tcW w:w="187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/>
            </w:pPr>
            <w:r>
              <w:rPr/>
              <w:t>0</w:t>
            </w:r>
          </w:p>
        </w:tc>
      </w:tr>
      <w:tr>
        <w:trPr>
          <w:trHeight w:val="852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/>
              <w:t xml:space="preserve"> </w:t>
            </w:r>
            <w:r>
              <w:rPr/>
              <w:t>Variante A</w:t>
            </w:r>
          </w:p>
        </w:tc>
        <w:tc>
          <w:tcPr>
            <w:tcW w:w="545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 xml:space="preserve">Nei casi di invalidità permanente di grado pari o superiore al 50% sarà liquidata l'intera indennità assicurata a tale titolo </w:t>
            </w:r>
          </w:p>
        </w:tc>
        <w:tc>
          <w:tcPr>
            <w:tcW w:w="187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ind w:left="0" w:right="-20" w:hanging="0"/>
              <w:jc w:val="center"/>
              <w:rPr/>
            </w:pPr>
            <w:r>
              <w:rPr/>
              <w:t>15</w:t>
            </w:r>
          </w:p>
        </w:tc>
      </w:tr>
    </w:tbl>
    <w:p>
      <w:pPr>
        <w:pStyle w:val="Normal"/>
        <w:spacing w:lineRule="auto" w:line="240" w:before="0" w:after="0"/>
        <w:ind w:left="57" w:right="57" w:hanging="0"/>
        <w:rPr/>
      </w:pPr>
      <w:r>
        <w:rPr/>
      </w:r>
    </w:p>
    <w:tbl>
      <w:tblPr>
        <w:tblW w:w="8820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486"/>
        <w:gridCol w:w="5207"/>
        <w:gridCol w:w="2127"/>
      </w:tblGrid>
      <w:tr>
        <w:trPr>
          <w:trHeight w:val="284" w:hRule="atLeast"/>
        </w:trPr>
        <w:tc>
          <w:tcPr>
            <w:tcW w:w="8820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Variante n. 3</w:t>
            </w:r>
          </w:p>
        </w:tc>
      </w:tr>
      <w:tr>
        <w:trPr>
          <w:trHeight w:val="674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52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 xml:space="preserve">Art 3.5 Elevazione dell’indennità assicurata in caso di morte da aggressione </w:t>
            </w:r>
          </w:p>
        </w:tc>
        <w:tc>
          <w:tcPr>
            <w:tcW w:w="21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>
          <w:trHeight w:val="854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>
                <w:i/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52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/>
            </w:pPr>
            <w:r>
              <w:rPr/>
              <w:t>Maggiorazione del 30%</w:t>
            </w:r>
          </w:p>
        </w:tc>
        <w:tc>
          <w:tcPr>
            <w:tcW w:w="21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/>
            </w:pPr>
            <w:r>
              <w:rPr/>
              <w:t>0</w:t>
            </w:r>
          </w:p>
        </w:tc>
      </w:tr>
      <w:tr>
        <w:trPr>
          <w:trHeight w:val="852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/>
              <w:t xml:space="preserve"> </w:t>
            </w:r>
            <w:r>
              <w:rPr/>
              <w:t>Variante A</w:t>
            </w:r>
          </w:p>
        </w:tc>
        <w:tc>
          <w:tcPr>
            <w:tcW w:w="52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Maggiorazione del 50%</w:t>
            </w:r>
          </w:p>
        </w:tc>
        <w:tc>
          <w:tcPr>
            <w:tcW w:w="21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ind w:left="0" w:right="-20" w:hanging="0"/>
              <w:jc w:val="center"/>
              <w:rPr/>
            </w:pPr>
            <w:r>
              <w:rPr/>
              <w:t>10</w:t>
            </w:r>
          </w:p>
        </w:tc>
      </w:tr>
    </w:tbl>
    <w:p>
      <w:pPr>
        <w:pStyle w:val="Normal"/>
        <w:spacing w:lineRule="auto" w:line="240" w:before="0" w:after="0"/>
        <w:ind w:left="57" w:right="57" w:hanging="0"/>
        <w:rPr/>
      </w:pPr>
      <w:r>
        <w:rPr/>
      </w:r>
    </w:p>
    <w:tbl>
      <w:tblPr>
        <w:tblW w:w="8820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486"/>
        <w:gridCol w:w="5207"/>
        <w:gridCol w:w="2127"/>
      </w:tblGrid>
      <w:tr>
        <w:trPr>
          <w:trHeight w:val="284" w:hRule="atLeast"/>
        </w:trPr>
        <w:tc>
          <w:tcPr>
            <w:tcW w:w="8820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Variante n. 4</w:t>
            </w:r>
          </w:p>
        </w:tc>
      </w:tr>
      <w:tr>
        <w:trPr>
          <w:trHeight w:val="674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52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Art. 3.7 - Deroga ai limiti d’età</w:t>
            </w:r>
          </w:p>
        </w:tc>
        <w:tc>
          <w:tcPr>
            <w:tcW w:w="21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>
          <w:trHeight w:val="854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>
                <w:i/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52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/>
            </w:pPr>
            <w:r>
              <w:rPr/>
              <w:t>persone dr età superiore a 70 anni e fino a 75 anni Franchigia assoluta 5% su Invalidità permanente</w:t>
            </w:r>
          </w:p>
        </w:tc>
        <w:tc>
          <w:tcPr>
            <w:tcW w:w="21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/>
            </w:pPr>
            <w:r>
              <w:rPr/>
              <w:t>0</w:t>
            </w:r>
          </w:p>
        </w:tc>
      </w:tr>
      <w:tr>
        <w:trPr>
          <w:trHeight w:val="630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/>
              <w:t xml:space="preserve"> </w:t>
            </w:r>
            <w:r>
              <w:rPr/>
              <w:t>Variante A</w:t>
            </w:r>
          </w:p>
        </w:tc>
        <w:tc>
          <w:tcPr>
            <w:tcW w:w="52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persone dr età superiore a 75 anni e fino a 80 anni Franchigia assoluta 5% su Invalidità permanente</w:t>
            </w:r>
          </w:p>
        </w:tc>
        <w:tc>
          <w:tcPr>
            <w:tcW w:w="21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ind w:left="0" w:right="-20" w:hanging="0"/>
              <w:jc w:val="center"/>
              <w:rPr/>
            </w:pPr>
            <w:r>
              <w:rPr/>
              <w:t>5</w:t>
            </w:r>
          </w:p>
        </w:tc>
      </w:tr>
      <w:tr>
        <w:trPr>
          <w:trHeight w:val="710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/>
              <w:t xml:space="preserve"> </w:t>
            </w:r>
            <w:r>
              <w:rPr/>
              <w:t>Variante B</w:t>
            </w:r>
          </w:p>
        </w:tc>
        <w:tc>
          <w:tcPr>
            <w:tcW w:w="52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persone dr età superiore a 80 anni e fino 85 anni Franchigia assoluta 5% su Invalidità permanente</w:t>
            </w:r>
          </w:p>
        </w:tc>
        <w:tc>
          <w:tcPr>
            <w:tcW w:w="21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ind w:left="0" w:right="-20" w:hanging="0"/>
              <w:jc w:val="center"/>
              <w:rPr/>
            </w:pPr>
            <w:r>
              <w:rPr/>
              <w:t>10</w:t>
            </w:r>
          </w:p>
        </w:tc>
      </w:tr>
    </w:tbl>
    <w:p>
      <w:pPr>
        <w:pStyle w:val="Normal"/>
        <w:spacing w:lineRule="auto" w:line="199" w:before="0" w:after="0"/>
        <w:rPr/>
      </w:pPr>
      <w:r>
        <w:rPr/>
      </w:r>
    </w:p>
    <w:p>
      <w:pPr>
        <w:pStyle w:val="Normal"/>
        <w:spacing w:lineRule="auto" w:line="199" w:before="0" w:after="0"/>
        <w:rPr/>
      </w:pPr>
      <w:r>
        <w:rPr/>
      </w:r>
    </w:p>
    <w:tbl>
      <w:tblPr>
        <w:tblW w:w="8820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486"/>
        <w:gridCol w:w="5207"/>
        <w:gridCol w:w="2127"/>
      </w:tblGrid>
      <w:tr>
        <w:trPr>
          <w:trHeight w:val="284" w:hRule="atLeast"/>
        </w:trPr>
        <w:tc>
          <w:tcPr>
            <w:tcW w:w="8820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Variante n. 5</w:t>
            </w:r>
          </w:p>
        </w:tc>
      </w:tr>
      <w:tr>
        <w:trPr>
          <w:trHeight w:val="674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52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Art 3.8 – Danni Estetici</w:t>
            </w:r>
          </w:p>
        </w:tc>
        <w:tc>
          <w:tcPr>
            <w:tcW w:w="21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>
          <w:trHeight w:val="854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>
                <w:i/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52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/>
            </w:pPr>
            <w:r>
              <w:rPr/>
              <w:t xml:space="preserve">€ </w:t>
            </w:r>
            <w:r>
              <w:rPr/>
              <w:t>2.500,00</w:t>
            </w:r>
          </w:p>
        </w:tc>
        <w:tc>
          <w:tcPr>
            <w:tcW w:w="21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/>
            </w:pPr>
            <w:r>
              <w:rPr/>
              <w:t>0</w:t>
            </w:r>
          </w:p>
        </w:tc>
      </w:tr>
      <w:tr>
        <w:trPr>
          <w:trHeight w:val="852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/>
              <w:t xml:space="preserve"> </w:t>
            </w:r>
            <w:r>
              <w:rPr/>
              <w:t>Variante A</w:t>
            </w:r>
          </w:p>
        </w:tc>
        <w:tc>
          <w:tcPr>
            <w:tcW w:w="52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 xml:space="preserve">€ </w:t>
            </w:r>
            <w:r>
              <w:rPr/>
              <w:t>5.000,00</w:t>
            </w:r>
          </w:p>
        </w:tc>
        <w:tc>
          <w:tcPr>
            <w:tcW w:w="21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ind w:left="0" w:right="-20" w:hanging="0"/>
              <w:jc w:val="center"/>
              <w:rPr/>
            </w:pPr>
            <w:r>
              <w:rPr/>
              <w:t>7</w:t>
            </w:r>
          </w:p>
        </w:tc>
      </w:tr>
      <w:tr>
        <w:trPr>
          <w:trHeight w:val="852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/>
              <w:t xml:space="preserve"> </w:t>
            </w:r>
            <w:r>
              <w:rPr/>
              <w:t>Variante B</w:t>
            </w:r>
          </w:p>
        </w:tc>
        <w:tc>
          <w:tcPr>
            <w:tcW w:w="52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 xml:space="preserve">€ </w:t>
            </w:r>
            <w:r>
              <w:rPr/>
              <w:t>10.000,00</w:t>
            </w:r>
          </w:p>
        </w:tc>
        <w:tc>
          <w:tcPr>
            <w:tcW w:w="21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ind w:left="0" w:right="-20" w:hanging="0"/>
              <w:jc w:val="center"/>
              <w:rPr/>
            </w:pPr>
            <w:r>
              <w:rPr/>
              <w:t>15</w:t>
            </w:r>
          </w:p>
        </w:tc>
      </w:tr>
    </w:tbl>
    <w:p>
      <w:pPr>
        <w:pStyle w:val="Normal"/>
        <w:spacing w:lineRule="auto" w:line="199" w:before="0" w:after="0"/>
        <w:rPr/>
      </w:pPr>
      <w:r>
        <w:rPr/>
      </w:r>
    </w:p>
    <w:p>
      <w:pPr>
        <w:pStyle w:val="Normal"/>
        <w:spacing w:lineRule="auto" w:line="199" w:before="0" w:after="0"/>
        <w:rPr/>
      </w:pPr>
      <w:r>
        <w:rPr/>
      </w:r>
    </w:p>
    <w:p>
      <w:pPr>
        <w:pStyle w:val="Normal"/>
        <w:spacing w:lineRule="auto" w:line="199" w:before="0" w:after="0"/>
        <w:rPr/>
      </w:pPr>
      <w:r>
        <w:rPr/>
      </w:r>
    </w:p>
    <w:p>
      <w:pPr>
        <w:pStyle w:val="Normal"/>
        <w:spacing w:lineRule="auto" w:line="199" w:before="0" w:after="0"/>
        <w:rPr/>
      </w:pPr>
      <w:r>
        <w:rPr/>
      </w:r>
    </w:p>
    <w:p>
      <w:pPr>
        <w:pStyle w:val="Normal"/>
        <w:spacing w:lineRule="auto" w:line="199" w:before="0" w:after="0"/>
        <w:rPr/>
      </w:pPr>
      <w:r>
        <w:rPr/>
      </w:r>
    </w:p>
    <w:p>
      <w:pPr>
        <w:pStyle w:val="Normal"/>
        <w:spacing w:lineRule="auto" w:line="199" w:before="0" w:after="0"/>
        <w:rPr/>
      </w:pPr>
      <w:r>
        <w:rPr/>
      </w:r>
    </w:p>
    <w:tbl>
      <w:tblPr>
        <w:tblW w:w="8820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486"/>
        <w:gridCol w:w="5207"/>
        <w:gridCol w:w="2127"/>
      </w:tblGrid>
      <w:tr>
        <w:trPr>
          <w:trHeight w:val="284" w:hRule="atLeast"/>
        </w:trPr>
        <w:tc>
          <w:tcPr>
            <w:tcW w:w="8820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Variante n. 6</w:t>
            </w:r>
          </w:p>
        </w:tc>
      </w:tr>
      <w:tr>
        <w:trPr>
          <w:trHeight w:val="674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52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Art 3.10 Spese di Rimpatrio</w:t>
            </w:r>
          </w:p>
        </w:tc>
        <w:tc>
          <w:tcPr>
            <w:tcW w:w="21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>
          <w:trHeight w:val="854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>
                <w:i/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52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/>
            </w:pPr>
            <w:r>
              <w:rPr/>
              <w:t xml:space="preserve">€ </w:t>
            </w:r>
            <w:r>
              <w:rPr/>
              <w:t>5.000,00</w:t>
            </w:r>
          </w:p>
        </w:tc>
        <w:tc>
          <w:tcPr>
            <w:tcW w:w="21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/>
            </w:pPr>
            <w:r>
              <w:rPr/>
              <w:t>0</w:t>
            </w:r>
          </w:p>
        </w:tc>
      </w:tr>
      <w:tr>
        <w:trPr>
          <w:trHeight w:val="852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57" w:right="57" w:hanging="0"/>
              <w:jc w:val="center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/>
              <w:t xml:space="preserve"> </w:t>
            </w:r>
            <w:r>
              <w:rPr/>
              <w:t>Variante A</w:t>
            </w:r>
          </w:p>
        </w:tc>
        <w:tc>
          <w:tcPr>
            <w:tcW w:w="52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 xml:space="preserve">€ </w:t>
            </w:r>
            <w:r>
              <w:rPr/>
              <w:t>10.000,00</w:t>
            </w:r>
          </w:p>
        </w:tc>
        <w:tc>
          <w:tcPr>
            <w:tcW w:w="21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200"/>
              <w:ind w:left="0" w:right="-20" w:hanging="0"/>
              <w:jc w:val="center"/>
              <w:rPr/>
            </w:pPr>
            <w:r>
              <w:rPr/>
              <w:t>10</w:t>
            </w:r>
          </w:p>
        </w:tc>
      </w:tr>
    </w:tbl>
    <w:p>
      <w:pPr>
        <w:pStyle w:val="Normal"/>
        <w:spacing w:lineRule="auto" w:line="199" w:before="0" w:after="0"/>
        <w:rPr/>
      </w:pPr>
      <w:r>
        <w:rPr/>
      </w:r>
    </w:p>
    <w:p>
      <w:pPr>
        <w:pStyle w:val="Normal"/>
        <w:spacing w:lineRule="auto" w:line="199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99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110" w:right="3304" w:hanging="0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Data ..........................................                                                      </w:t>
      </w:r>
      <w:r>
        <w:rPr>
          <w:sz w:val="20"/>
          <w:szCs w:val="20"/>
        </w:rPr>
        <w:t xml:space="preserve"> Firma  digitale </w:t>
      </w:r>
    </w:p>
    <w:p>
      <w:pPr>
        <w:pStyle w:val="Normal"/>
        <w:spacing w:lineRule="auto" w:line="240" w:before="0" w:after="0"/>
        <w:ind w:left="110" w:right="3304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08" w:before="6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5090" w:right="-20" w:hanging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..............................................................................</w:t>
      </w:r>
    </w:p>
    <w:p>
      <w:pPr>
        <w:pStyle w:val="Normal"/>
        <w:spacing w:lineRule="auto" w:line="120" w:before="0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110" w:right="48"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N.B. In caso di coassicurazione, di raggruppamento temporaneo o di consorzio ordinario non ancora costituiti, il presente Modulo dovrà essere compilato e sottoscritto dai rappresentanti legali di tutte le imprese partecipanti in caso contrario non verrà attribuito nessun punteggio all’offerta tecnica</w:t>
      </w:r>
    </w:p>
    <w:p>
      <w:pPr>
        <w:pStyle w:val="Normal"/>
        <w:spacing w:lineRule="auto" w:line="271" w:before="0" w:after="0"/>
        <w:ind w:left="110" w:right="309" w:hanging="0"/>
        <w:jc w:val="both"/>
        <w:rPr>
          <w:rFonts w:ascii="Arial" w:hAnsi="Arial" w:eastAsia="Arial" w:cs="Arial"/>
          <w:position w:val="0"/>
          <w:sz w:val="20"/>
          <w:sz w:val="20"/>
          <w:szCs w:val="20"/>
          <w:u w:val="single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u w:val="single"/>
          <w:vertAlign w:val="baseline"/>
        </w:rPr>
        <w:t xml:space="preserve">                                                         </w:t>
      </w:r>
    </w:p>
    <w:sectPr>
      <w:headerReference w:type="default" r:id="rId2"/>
      <w:footerReference w:type="default" r:id="rId3"/>
      <w:type w:val="nextPage"/>
      <w:pgSz w:w="11906" w:h="16838"/>
      <w:pgMar w:left="740" w:right="740" w:header="751" w:top="851" w:footer="553" w:bottom="709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  <w:font w:name="Georgi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pageBreakBefore w:val="false"/>
      <w:widowControl w:val="false"/>
      <w:pBdr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4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2004" w:leader="none"/>
      </w:tabs>
      <w:spacing w:lineRule="auto" w:line="240" w:before="0" w:after="0"/>
      <w:jc w:val="center"/>
      <w:rPr/>
    </w:pPr>
    <w:r>
      <w:rPr/>
      <w:t>Allegato 2E</w:t>
    </w:r>
    <w:r>
      <w:rPr>
        <w:rFonts w:eastAsia="Arial" w:cs="Arial" w:ascii="Arial" w:hAnsi="Arial"/>
        <w:sz w:val="20"/>
        <w:szCs w:val="20"/>
      </w:rPr>
      <w:t xml:space="preserve">  -Modello Offerta Tecnica</w:t>
      <w:tab/>
      <w:t>Lotto 5 Infortuni</w:t>
    </w:r>
  </w:p>
</w:hdr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zh-CN" w:bidi="hi-IN"/>
    </w:rPr>
  </w:style>
  <w:style w:type="paragraph" w:styleId="Titolo1">
    <w:name w:val="Heading 1"/>
    <w:basedOn w:val="Normal"/>
    <w:next w:val="Normal"/>
    <w:qFormat/>
    <w:pPr>
      <w:keepNext w:val="true"/>
      <w:widowControl/>
      <w:numPr>
        <w:ilvl w:val="0"/>
        <w:numId w:val="0"/>
      </w:numPr>
      <w:spacing w:lineRule="auto" w:line="240" w:before="0" w:after="0"/>
      <w:ind w:left="0" w:right="-1" w:hanging="0"/>
      <w:jc w:val="center"/>
      <w:outlineLvl w:val="0"/>
    </w:pPr>
    <w:rPr>
      <w:rFonts w:ascii="Times New Roman" w:hAnsi="Times New Roman" w:eastAsia="Times New Roman" w:cs="Times New Roman"/>
      <w:b/>
      <w:sz w:val="24"/>
      <w:szCs w:val="20"/>
      <w:lang w:val="it-IT" w:eastAsia="it-IT"/>
    </w:rPr>
  </w:style>
  <w:style w:type="paragraph" w:styleId="Titolo2">
    <w:name w:val="Heading 2"/>
    <w:basedOn w:val="Normal1"/>
    <w:next w:val="Normal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itolo3">
    <w:name w:val="Heading 3"/>
    <w:basedOn w:val="Normal1"/>
    <w:next w:val="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1"/>
    <w:next w:val="Normal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Normal1"/>
    <w:next w:val="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>
    <w:name w:val="Default Paragraph Font"/>
    <w:qFormat/>
    <w:rPr/>
  </w:style>
  <w:style w:type="character" w:styleId="IntestazioneCarattere">
    <w:name w:val="Intestazione Carattere"/>
    <w:basedOn w:val="DefaultParagraphFont"/>
    <w:qFormat/>
    <w:rPr/>
  </w:style>
  <w:style w:type="character" w:styleId="PidipaginaCarattere">
    <w:name w:val="Piè di pagina Carattere"/>
    <w:basedOn w:val="DefaultParagraphFont"/>
    <w:qFormat/>
    <w:rPr/>
  </w:style>
  <w:style w:type="character" w:styleId="TestofumettoCarattere">
    <w:name w:val="Testo fumetto Carattere"/>
    <w:basedOn w:val="DefaultParagraphFont"/>
    <w:qFormat/>
    <w:rPr>
      <w:rFonts w:ascii="Segoe UI" w:hAnsi="Segoe UI" w:cs="Segoe UI"/>
      <w:sz w:val="18"/>
      <w:szCs w:val="18"/>
    </w:rPr>
  </w:style>
  <w:style w:type="character" w:styleId="Titolo1Carattere">
    <w:name w:val="Titolo 1 Carattere"/>
    <w:basedOn w:val="DefaultParagraphFont"/>
    <w:qFormat/>
    <w:rPr>
      <w:rFonts w:ascii="Times New Roman" w:hAnsi="Times New Roman" w:eastAsia="Times New Roman" w:cs="Times New Roman"/>
      <w:b/>
      <w:sz w:val="24"/>
      <w:szCs w:val="20"/>
      <w:lang w:val="it-IT" w:eastAsia="it-IT"/>
    </w:rPr>
  </w:style>
  <w:style w:type="character" w:styleId="TitoloCarattere">
    <w:name w:val="Titolo Carattere"/>
    <w:basedOn w:val="DefaultParagraphFont"/>
    <w:qFormat/>
    <w:rPr>
      <w:rFonts w:ascii="Times New Roman" w:hAnsi="Times New Roman" w:eastAsia="Times New Roman" w:cs="Times New Roman"/>
      <w:b/>
      <w:sz w:val="28"/>
      <w:szCs w:val="20"/>
      <w:u w:val="single"/>
      <w:lang w:val="it-IT" w:eastAsia="it-IT"/>
    </w:rPr>
  </w:style>
  <w:style w:type="character" w:styleId="CorpotestoCarattere">
    <w:name w:val="Corpo testo Carattere"/>
    <w:basedOn w:val="DefaultParagraphFont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Linux Libertine G" w:cs="Linux Libertine G"/>
      <w:sz w:val="28"/>
      <w:szCs w:val="28"/>
    </w:rPr>
  </w:style>
  <w:style w:type="paragraph" w:styleId="Corpodeltesto">
    <w:name w:val="Body Text"/>
    <w:basedOn w:val="Normal"/>
    <w:pPr>
      <w:spacing w:before="0" w:after="12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/>
  </w:style>
  <w:style w:type="paragraph" w:styleId="Normal1">
    <w:name w:val="LO-normal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zh-CN" w:bidi="hi-IN"/>
    </w:rPr>
  </w:style>
  <w:style w:type="paragraph" w:styleId="Titoloprincipale">
    <w:name w:val="Title"/>
    <w:basedOn w:val="Normal"/>
    <w:next w:val="Normal"/>
    <w:qFormat/>
    <w:pPr>
      <w:widowControl/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  <w:u w:val="single"/>
      <w:lang w:val="it-IT" w:eastAsia="it-IT"/>
    </w:rPr>
  </w:style>
  <w:style w:type="paragraph" w:styleId="Intestazione">
    <w:name w:val="Header"/>
    <w:basedOn w:val="Normal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Default">
    <w:name w:val="Default"/>
    <w:qFormat/>
    <w:pPr>
      <w:widowControl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it-IT" w:eastAsia="zh-CN" w:bidi="hi-IN"/>
    </w:rPr>
  </w:style>
  <w:style w:type="paragraph" w:styleId="Testonormale1">
    <w:name w:val="Testo normale1"/>
    <w:basedOn w:val="Normal"/>
    <w:qFormat/>
    <w:pPr>
      <w:widowControl/>
      <w:suppressAutoHyphens w:val="true"/>
      <w:spacing w:lineRule="auto" w:line="240" w:before="0" w:after="0"/>
      <w:jc w:val="both"/>
    </w:pPr>
    <w:rPr>
      <w:rFonts w:ascii="Courier New" w:hAnsi="Courier New" w:eastAsia="Times New Roman" w:cs="Times New Roman"/>
      <w:sz w:val="20"/>
      <w:szCs w:val="20"/>
      <w:lang w:val="it-IT" w:eastAsia="ar-SA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paragraph" w:styleId="Sottotitolo">
    <w:name w:val="Subtitle"/>
    <w:basedOn w:val="Normal1"/>
    <w:next w:val="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LibreOffice/5.4.3.2$MacOSX_X86_64 LibreOffice_project/92a7159f7e4af62137622921e809f8546db437e5</Application>
  <Pages>4</Pages>
  <Words>432</Words>
  <Characters>2786</Characters>
  <CharactersWithSpaces>3253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2021-12-10T17:53:00Z</dcterms:created>
  <dc:creator>Silvia Baccin</dc:creator>
  <dc:description/>
  <dc:language>it-IT</dc:language>
  <cp:lastModifiedBy/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2016-10-13T00:00:00Z</vt:filetime>
  </property>
  <property fmtid="{D5CDD505-2E9C-101B-9397-08002B2CF9AE}" pid="3" name="LastSaved">
    <vt:filetime>2016-12-03T00:00:00Z</vt:filetime>
  </property>
</Properties>
</file>